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1B3A6B" w:sz="24"/>
          <w:bottom w:val="single" w:color="1A5C38" w:sz="24"/>
        </w:pBdr>
        <w:shd w:fill="1B3A6B" w:val="clear"/>
        <w:spacing w:after="0" w:before="0"/>
        <w:jc w:val="center"/>
      </w:pPr>
      <w:r>
        <w:rPr>
          <w:rFonts w:ascii="Arial" w:cs="Arial" w:eastAsia="Arial" w:hAnsi="Arial"/>
          <w:b/>
          <w:bCs/>
          <w:color w:val="FFCC00"/>
          <w:sz w:val="18"/>
          <w:szCs w:val="18"/>
        </w:rPr>
        <w:t xml:space="preserve">⚠ ARTIFICIAL INTELLIGENCE DISCLOSURE</w:t>
      </w:r>
      <w:r>
        <w:rPr>
          <w:rFonts w:ascii="Arial" w:cs="Arial" w:eastAsia="Arial" w:hAnsi="Arial"/>
          <w:color w:val="FFFFFF"/>
          <w:sz w:val="16"/>
          <w:szCs w:val="16"/>
        </w:rPr>
        <w:t xml:space="preserve">   This document was produced with AI assistance via NOVA™ (Anthropic Claude Sonnet / Pinecone RAG). All content has been reviewed and signed off by the named responsible person. Human approval constitutes acceptance of accuracy and doctrinal compliance.   </w:t>
      </w:r>
    </w:p>
    <w:p>
      <w:pPr>
        <w:spacing w:before="240"/>
      </w:pPr>
    </w:p>
    <w:p>
      <w:r>
        <w:rPr>
          <w:rFonts w:ascii="Arial" w:cs="Arial" w:eastAsia="Arial" w:hAnsi="Arial"/>
          <w:b/>
          <w:bCs/>
          <w:color w:val="1B3A6B"/>
          <w:sz w:val="44"/>
          <w:szCs w:val="44"/>
        </w:rPr>
        <w:t xml:space="preserve">SECURITY RISK ASSESSMENT</w:t>
      </w:r>
    </w:p>
    <w:p>
      <w:pPr>
        <w:spacing w:after="80" w:before="0"/>
      </w:pPr>
      <w:r>
        <w:rPr>
          <w:rFonts w:ascii="Arial" w:cs="Arial" w:eastAsia="Arial" w:hAnsi="Arial"/>
          <w:b/>
          <w:bCs/>
          <w:color w:val="1A5C38"/>
          <w:sz w:val="28"/>
          <w:szCs w:val="28"/>
        </w:rPr>
        <w:t xml:space="preserve">NOVA™ — Agentic Allied Defence Training Platform</w:t>
      </w:r>
    </w:p>
    <w:p>
      <w:pPr>
        <w:spacing w:after="320" w:before="0"/>
      </w:pPr>
      <w:r>
        <w:rPr>
          <w:rFonts w:ascii="Arial" w:cs="Arial" w:eastAsia="Arial" w:hAnsi="Arial"/>
          <w:sz w:val="22"/>
          <w:szCs w:val="22"/>
        </w:rPr>
        <w:t xml:space="preserve">Document Ref: NOVA-SRA-001  |  </w:t>
      </w:r>
      <w:r>
        <w:rPr>
          <w:rFonts w:ascii="Arial" w:cs="Arial" w:eastAsia="Arial" w:hAnsi="Arial"/>
          <w:sz w:val="22"/>
          <w:szCs w:val="22"/>
        </w:rPr>
        <w:t xml:space="preserve">8 March 2026  |  Will Kennedy-Long FLPI, FITOL</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D6E0F0" w:val="clear"/>
            <w:tcMar>
              <w:top w:type="dxa" w:w="120"/>
              <w:left w:type="dxa" w:w="200"/>
              <w:bottom w:type="dxa" w:w="120"/>
              <w:right w:type="dxa" w:w="200"/>
            </w:tcMar>
          </w:tcPr>
          <w:p>
            <w:r>
              <w:rPr>
                <w:rFonts w:ascii="Arial" w:cs="Arial" w:eastAsia="Arial" w:hAnsi="Arial"/>
                <w:b/>
                <w:bCs/>
                <w:color w:val="1B3A6B"/>
                <w:sz w:val="20"/>
                <w:szCs w:val="20"/>
              </w:rPr>
              <w:t xml:space="preserve">JSP 936 Reference:  </w:t>
            </w:r>
            <w:r>
              <w:rPr>
                <w:rFonts w:ascii="Arial" w:cs="Arial" w:eastAsia="Arial" w:hAnsi="Arial"/>
                <w:sz w:val="20"/>
                <w:szCs w:val="20"/>
              </w:rPr>
              <w:t xml:space="preserve">JSP 936 V1.1 §195–197 — A Secure by Design approach is required. Security analyses must include conventional risks and adversarial interference with AI performance. Unique security risks associated with AI development and behaviour must be analysed from the earliest practicable opportunity.</w:t>
            </w:r>
          </w:p>
        </w:tc>
      </w:tr>
    </w:tbl>
    <w:p>
      <w:pPr>
        <w:spacing w:before="1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FDECEA" w:val="clear"/>
            <w:tcMar>
              <w:top w:type="dxa" w:w="120"/>
              <w:left w:type="dxa" w:w="200"/>
              <w:bottom w:type="dxa" w:w="120"/>
              <w:right w:type="dxa" w:w="200"/>
            </w:tcMar>
          </w:tcPr>
          <w:p>
            <w:r>
              <w:rPr>
                <w:rFonts w:ascii="Arial" w:cs="Arial" w:eastAsia="Arial" w:hAnsi="Arial"/>
                <w:b/>
                <w:bCs/>
                <w:color w:val="1B3A6B"/>
                <w:sz w:val="20"/>
                <w:szCs w:val="20"/>
              </w:rPr>
              <w:t xml:space="preserve">⛔ CLASSIFICATION BOUNDARY — CRITICAL:  </w:t>
            </w:r>
            <w:r>
              <w:rPr>
                <w:rFonts w:ascii="Arial" w:cs="Arial" w:eastAsia="Arial" w:hAnsi="Arial"/>
                <w:sz w:val="20"/>
                <w:szCs w:val="20"/>
              </w:rPr>
              <w:t xml:space="preserve">NOVA is approved for OFFICIAL classification only. Under no circumstances should OFFICIAL-SENSITIVE, SECRET, or TOP SECRET material be uploaded to or processed by NOVA. This is a hard operational constraint and must be communicated to all users.</w:t>
            </w:r>
          </w:p>
        </w:tc>
      </w:tr>
    </w:tbl>
    <w:p>
      <w:pPr>
        <w:spacing w:before="160"/>
      </w:pPr>
    </w:p>
    <w:p>
      <w:pPr>
        <w:pStyle w:val="Heading1"/>
        <w:pBdr>
          <w:bottom w:val="single" w:color="1A5C38" w:sz="4" w:space="4"/>
        </w:pBdr>
        <w:spacing w:after="160" w:before="320"/>
      </w:pPr>
      <w:r>
        <w:rPr>
          <w:rFonts w:ascii="Arial" w:cs="Arial" w:eastAsia="Arial" w:hAnsi="Arial"/>
          <w:b/>
          <w:bCs/>
          <w:color w:val="1B3A6B"/>
          <w:sz w:val="28"/>
          <w:szCs w:val="28"/>
        </w:rPr>
        <w:t xml:space="preserve">1. Architecture and Data Flow Overview</w:t>
      </w:r>
    </w:p>
    <w:p>
      <w:pPr>
        <w:spacing w:after="120" w:before="80"/>
      </w:pPr>
      <w:r>
        <w:rPr>
          <w:rFonts w:ascii="Arial" w:cs="Arial" w:eastAsia="Arial" w:hAnsi="Arial"/>
          <w:b w:val="false"/>
          <w:bCs w:val="false"/>
          <w:i w:val="false"/>
          <w:iCs w:val="false"/>
          <w:color w:val="1A1A1A"/>
          <w:sz w:val="22"/>
          <w:szCs w:val="22"/>
        </w:rPr>
        <w:t xml:space="preserve">NOVA™ uses a distributed architecture across the following components. All data flows are documented below for security assessment purposes.</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000"/>
        <w:gridCol w:w="3506"/>
      </w:tblGrid>
      <w:tr>
        <w:trPr>
          <w:tblHeader/>
        </w:trPr>
        <w:tc>
          <w:tcPr>
            <w:tcW w:type="dxa" w:w="2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Component</w:t>
            </w:r>
          </w:p>
        </w:tc>
        <w:tc>
          <w:tcPr>
            <w:tcW w:type="dxa" w:w="2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Provider / Location</w:t>
            </w:r>
          </w:p>
        </w:tc>
        <w:tc>
          <w:tcPr>
            <w:tcW w:type="dxa" w:w="2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Data Processed</w:t>
            </w:r>
          </w:p>
        </w:tc>
        <w:tc>
          <w:tcPr>
            <w:tcW w:type="dxa" w:w="350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Data Residency</w:t>
            </w:r>
          </w:p>
        </w:tc>
      </w:tr>
      <w:tr>
        <w:trPr>
          <w:tblHeader w:val="false"/>
        </w:trP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Frontend (Pages/D1/KV)</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Cloudflare Inc. (US/EU)</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User session, activity data, generated documents</w:t>
            </w:r>
          </w:p>
        </w:tc>
        <w:tc>
          <w:tcPr>
            <w:tcW w:type="dxa" w:w="3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Cloudflare EU data centres where available. D1/KV data stored per Cloudflare data localisation settings.</w:t>
            </w:r>
          </w:p>
        </w:tc>
      </w:tr>
      <w:tr>
        <w:trPr>
          <w:tblHeader w:val="false"/>
        </w:trP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Analysis Backend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Railway Corp (US)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Document text during parsing. Transient — not persisted.</w:t>
            </w:r>
          </w:p>
        </w:tc>
        <w:tc>
          <w:tcPr>
            <w:tcW w:type="dxa" w:w="3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US-based Railway servers. Data transient in memory during processing only.</w:t>
            </w:r>
          </w:p>
        </w:tc>
      </w:tr>
      <w:tr>
        <w:trPr>
          <w:tblHeader w:val="false"/>
        </w:trP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LLM API</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Anthropic PBC (US)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Prompts containing document extracts and user-entered field content</w:t>
            </w:r>
          </w:p>
        </w:tc>
        <w:tc>
          <w:tcPr>
            <w:tcW w:type="dxa" w:w="3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US-based Anthropic infrastructure. API inputs not retained for training per Anthropic API ToS.</w:t>
            </w:r>
          </w:p>
        </w:tc>
      </w:tr>
      <w:tr>
        <w:trPr>
          <w:tblHeader w:val="false"/>
        </w:trP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Vector Database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Pinecone Inc. (US)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Doctrine content vectors only. No user data in Pinecone.</w:t>
            </w:r>
          </w:p>
        </w:tc>
        <w:tc>
          <w:tcPr>
            <w:tcW w:type="dxa" w:w="3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US-based. Doctrine content only — no user PII or project data.</w:t>
            </w:r>
          </w:p>
        </w:tc>
      </w:tr>
      <w:tr>
        <w:trPr>
          <w:tblHeader w:val="false"/>
        </w:trP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Payments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Stripe Inc. (US)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Payment card data</w:t>
            </w:r>
          </w:p>
        </w:tc>
        <w:tc>
          <w:tcPr>
            <w:tcW w:type="dxa" w:w="3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Handled entirely by Stripe. NOVA never sees raw card data. PCI-DSS compliant.</w:t>
            </w:r>
          </w:p>
        </w:tc>
      </w:tr>
    </w:tbl>
    <w:p>
      <w:pPr>
        <w:spacing w:before="16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FFF3CD" w:val="clear"/>
            <w:tcMar>
              <w:top w:type="dxa" w:w="120"/>
              <w:left w:type="dxa" w:w="200"/>
              <w:bottom w:type="dxa" w:w="120"/>
              <w:right w:type="dxa" w:w="200"/>
            </w:tcMar>
          </w:tcPr>
          <w:p>
            <w:r>
              <w:rPr>
                <w:rFonts w:ascii="Arial" w:cs="Arial" w:eastAsia="Arial" w:hAnsi="Arial"/>
                <w:b/>
                <w:bCs/>
                <w:color w:val="1B3A6B"/>
                <w:sz w:val="20"/>
                <w:szCs w:val="20"/>
              </w:rPr>
              <w:t xml:space="preserve">Data Residency Note:  </w:t>
            </w:r>
            <w:r>
              <w:rPr>
                <w:rFonts w:ascii="Arial" w:cs="Arial" w:eastAsia="Arial" w:hAnsi="Arial"/>
                <w:sz w:val="20"/>
                <w:szCs w:val="20"/>
              </w:rPr>
              <w:t xml:space="preserve">NOVA processes OFFICIAL data through US-based third-party services (Anthropic, Railway, Pinecone). MOD organisations must satisfy themselves that this is acceptable under their own data handling policies before use. Cloud security standards applicable: Anthropic and Cloudflare hold SOC 2 Type II certification.</w:t>
            </w:r>
          </w:p>
        </w:tc>
      </w:tr>
    </w:tbl>
    <w:p>
      <w:pPr>
        <w:spacing w:before="200"/>
      </w:pPr>
    </w:p>
    <w:p>
      <w:pPr>
        <w:pStyle w:val="Heading1"/>
        <w:pBdr>
          <w:bottom w:val="single" w:color="1A5C38" w:sz="4" w:space="4"/>
        </w:pBdr>
        <w:spacing w:after="160" w:before="320"/>
      </w:pPr>
      <w:r>
        <w:rPr>
          <w:rFonts w:ascii="Arial" w:cs="Arial" w:eastAsia="Arial" w:hAnsi="Arial"/>
          <w:b/>
          <w:bCs/>
          <w:color w:val="1B3A6B"/>
          <w:sz w:val="28"/>
          <w:szCs w:val="28"/>
        </w:rPr>
        <w:t xml:space="preserve">2. Security Risk Register</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00"/>
        <w:gridCol w:w="2500"/>
        <w:gridCol w:w="1400"/>
        <w:gridCol w:w="1400"/>
        <w:gridCol w:w="3906"/>
      </w:tblGrid>
      <w:tr>
        <w:trPr>
          <w:tblHeader/>
        </w:trPr>
        <w:tc>
          <w:tcPr>
            <w:tcW w:type="dxa" w:w="3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ID</w:t>
            </w:r>
          </w:p>
        </w:tc>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Risk</w:t>
            </w:r>
          </w:p>
        </w:tc>
        <w:tc>
          <w:tcPr>
            <w:tcW w:type="dxa" w:w="1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Likelihood</w:t>
            </w:r>
          </w:p>
        </w:tc>
        <w:tc>
          <w:tcPr>
            <w:tcW w:type="dxa" w:w="1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Impact</w:t>
            </w:r>
          </w:p>
        </w:tc>
        <w:tc>
          <w:tcPr>
            <w:tcW w:type="dxa" w:w="390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Mitigation</w:t>
            </w:r>
          </w:p>
        </w:tc>
      </w:tr>
      <w:tr>
        <w:trPr>
          <w:tblHeader w:val="false"/>
        </w:trPr>
        <w:tc>
          <w:tcPr>
            <w:tcW w:type="dxa" w:w="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SR-01</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User uploads OFFICIAL-SENSITIVE or SECRET material to NOVA</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Low–Moderate</w:t>
            </w:r>
          </w:p>
        </w:tc>
        <w:tc>
          <w:tcPr>
            <w:tcW w:type="dxa" w:w="140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High</w:t>
            </w:r>
          </w:p>
        </w:tc>
        <w:tc>
          <w:tcPr>
            <w:tcW w:type="dxa" w:w="39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Hard classification limit stated throughout platform, in all documentation, and in onboarding. User Training Package (pending) to reinforce. Contractual obligations on MOD customers.</w:t>
            </w:r>
          </w:p>
        </w:tc>
      </w:tr>
      <w:tr>
        <w:trPr>
          <w:tblHeader w:val="false"/>
        </w:trPr>
        <w:tc>
          <w:tcPr>
            <w:tcW w:type="dxa" w:w="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SR-02</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Anthropic API data interception in transit</w:t>
            </w:r>
          </w:p>
        </w:tc>
        <w:tc>
          <w:tcPr>
            <w:tcW w:type="dxa" w:w="14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Very Low</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w:t>
            </w:r>
          </w:p>
        </w:tc>
        <w:tc>
          <w:tcPr>
            <w:tcW w:type="dxa" w:w="39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TLS 1.3 encryption in transit. Anthropic API requires HTTPS. No plaintext transmission.</w:t>
            </w:r>
          </w:p>
        </w:tc>
      </w:tr>
      <w:tr>
        <w:trPr>
          <w:tblHeader w:val="false"/>
        </w:trPr>
        <w:tc>
          <w:tcPr>
            <w:tcW w:type="dxa" w:w="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SR-03</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Cloudflare D1/KV data breach</w:t>
            </w:r>
          </w:p>
        </w:tc>
        <w:tc>
          <w:tcPr>
            <w:tcW w:type="dxa" w:w="14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Very Low</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w:t>
            </w:r>
          </w:p>
        </w:tc>
        <w:tc>
          <w:tcPr>
            <w:tcW w:type="dxa" w:w="39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Cloudflare SOC 2 Type II certified. Data isolated per account. Row-level security on D1.</w:t>
            </w:r>
          </w:p>
        </w:tc>
      </w:tr>
      <w:tr>
        <w:trPr>
          <w:tblHeader w:val="false"/>
        </w:trPr>
        <w:tc>
          <w:tcPr>
            <w:tcW w:type="dxa" w:w="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SR-04</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Prompt injection attack via malicious document upload</w:t>
            </w:r>
          </w:p>
        </w:tc>
        <w:tc>
          <w:tcPr>
            <w:tcW w:type="dxa" w:w="14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Low–Moderate</w:t>
            </w:r>
          </w:p>
        </w:tc>
        <w:tc>
          <w:tcPr>
            <w:tcW w:type="dxa" w:w="39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Document content is parsed and structured before LLM submission. Structured prompts reduce injection surface. Claude Sonnet has instruction hierarchy protection.</w:t>
            </w:r>
          </w:p>
        </w:tc>
      </w:tr>
      <w:tr>
        <w:trPr>
          <w:tblHeader w:val="false"/>
        </w:trPr>
        <w:tc>
          <w:tcPr>
            <w:tcW w:type="dxa" w:w="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SR-05</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Data poisoning of Pinecone doctrine index</w:t>
            </w:r>
          </w:p>
        </w:tc>
        <w:tc>
          <w:tcPr>
            <w:tcW w:type="dxa" w:w="14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Very Low</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w:t>
            </w:r>
          </w:p>
        </w:tc>
        <w:tc>
          <w:tcPr>
            <w:tcW w:type="dxa" w:w="39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Pinecone write access controlled by API key held by developer only. Doctrine files are version-controlled. No user can modify doctrine index.</w:t>
            </w:r>
          </w:p>
        </w:tc>
      </w:tr>
      <w:tr>
        <w:trPr>
          <w:tblHeader w:val="false"/>
        </w:trPr>
        <w:tc>
          <w:tcPr>
            <w:tcW w:type="dxa" w:w="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SR-06</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Railway backend compromise / data exfiltration</w:t>
            </w:r>
          </w:p>
        </w:tc>
        <w:tc>
          <w:tcPr>
            <w:tcW w:type="dxa" w:w="14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w:t>
            </w:r>
          </w:p>
        </w:tc>
        <w:tc>
          <w:tcPr>
            <w:tcW w:type="dxa" w:w="39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Railway processes document content transiently only — no persistent storage of user data. Railway uses isolated container environments per deployment.</w:t>
            </w:r>
          </w:p>
        </w:tc>
      </w:tr>
      <w:tr>
        <w:trPr>
          <w:tblHeader w:val="false"/>
        </w:trPr>
        <w:tc>
          <w:tcPr>
            <w:tcW w:type="dxa" w:w="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SR-07</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Account takeover / unauthorised access</w:t>
            </w:r>
          </w:p>
        </w:tc>
        <w:tc>
          <w:tcPr>
            <w:tcW w:type="dxa" w:w="14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w:t>
            </w:r>
          </w:p>
        </w:tc>
        <w:tc>
          <w:tcPr>
            <w:tcW w:type="dxa" w:w="39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Cloudflare Access authentication. Stripe-managed subscription verification. Session tokens with expiry.</w:t>
            </w:r>
          </w:p>
        </w:tc>
      </w:tr>
      <w:tr>
        <w:trPr>
          <w:tblHeader w:val="false"/>
        </w:trPr>
        <w:tc>
          <w:tcPr>
            <w:tcW w:type="dxa" w:w="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SR-08</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Third-party API service outage (Anthropic / Pinecone)</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w:t>
            </w:r>
          </w:p>
        </w:tc>
        <w:tc>
          <w:tcPr>
            <w:tcW w:type="dxa" w:w="14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c>
          <w:tcPr>
            <w:tcW w:type="dxa" w:w="39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 degrades gracefully — form fields remain accessible and saveable without AI features. Activity data not lost on API failure.</w:t>
            </w:r>
          </w:p>
        </w:tc>
      </w:tr>
      <w:tr>
        <w:trPr>
          <w:tblHeader w:val="false"/>
        </w:trPr>
        <w:tc>
          <w:tcPr>
            <w:tcW w:type="dxa" w:w="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SR-09</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Model behaviour change on Anthropic API update</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Low–Moderate</w:t>
            </w:r>
          </w:p>
        </w:tc>
        <w:tc>
          <w:tcPr>
            <w:tcW w:type="dxa" w:w="39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Model version pinned in API calls (claude-sonnet-4-6). Anthropic notifies of deprecation. Monitored quarterly.</w:t>
            </w:r>
          </w:p>
        </w:tc>
      </w:tr>
    </w:tbl>
    <w:p>
      <w:r>
        <w:br w:type="page"/>
      </w:r>
    </w:p>
    <w:p>
      <w:pPr>
        <w:pStyle w:val="Heading1"/>
        <w:pBdr>
          <w:bottom w:val="single" w:color="1A5C38" w:sz="4" w:space="4"/>
        </w:pBdr>
        <w:spacing w:after="160" w:before="320"/>
      </w:pPr>
      <w:r>
        <w:rPr>
          <w:rFonts w:ascii="Arial" w:cs="Arial" w:eastAsia="Arial" w:hAnsi="Arial"/>
          <w:b/>
          <w:bCs/>
          <w:color w:val="1B3A6B"/>
          <w:sz w:val="28"/>
          <w:szCs w:val="28"/>
        </w:rPr>
        <w:t xml:space="preserve">3. Security Controls Summary</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3006"/>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Control Area</w:t>
            </w:r>
          </w:p>
        </w:tc>
        <w:tc>
          <w:tcPr>
            <w:tcW w:type="dxa" w:w="4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Control</w:t>
            </w:r>
          </w:p>
        </w:tc>
        <w:tc>
          <w:tcPr>
            <w:tcW w:type="dxa" w:w="300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Standard / Reference</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Data in Transit</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TLS 1.3 on all connections (Cloudflare, Anthropic, Railway, Pinecone)</w:t>
            </w:r>
          </w:p>
        </w:tc>
        <w:tc>
          <w:tcPr>
            <w:tcW w:type="dxa" w:w="3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NCSC Cloud Security Principles</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Data at Rest</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Cloudflare D1/KV encryption at rest. Stripe PCI-DSS.</w:t>
            </w:r>
          </w:p>
        </w:tc>
        <w:tc>
          <w:tcPr>
            <w:tcW w:type="dxa" w:w="3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Cloudflare SOC 2</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Access Control</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Account-based access. API keys stored as environment variables, not in code.</w:t>
            </w:r>
          </w:p>
        </w:tc>
        <w:tc>
          <w:tcPr>
            <w:tcW w:type="dxa" w:w="3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Secure by Design</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Classification Enforcement</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OFFICIAL-only hard limit. Warning displayed in platform and all documentation.</w:t>
            </w:r>
          </w:p>
        </w:tc>
        <w:tc>
          <w:tcPr>
            <w:tcW w:type="dxa" w:w="3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JSP 936 §195</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Third-Party Assurance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Anthropic SOC 2 / Cloudflare SOC 2 / Railway SOC 2 / Pinecone SOC 2</w:t>
            </w:r>
          </w:p>
        </w:tc>
        <w:tc>
          <w:tcPr>
            <w:tcW w:type="dxa" w:w="3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Supplier security certifications</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Incident Response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Data breach notification within 72 hours per UK GDPR Article 33. Contact: Will Kennedy-Long FLPI, FITOL</w:t>
            </w:r>
          </w:p>
        </w:tc>
        <w:tc>
          <w:tcPr>
            <w:tcW w:type="dxa" w:w="3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UK GDPR Art. 33</w:t>
            </w:r>
          </w:p>
        </w:tc>
      </w:tr>
    </w:tbl>
    <w:p>
      <w:pPr>
        <w:spacing w:before="200"/>
      </w:pPr>
    </w:p>
    <w:p>
      <w:pPr>
        <w:pStyle w:val="Heading1"/>
        <w:pBdr>
          <w:bottom w:val="single" w:color="1A5C38" w:sz="4" w:space="4"/>
        </w:pBdr>
        <w:spacing w:after="160" w:before="320"/>
      </w:pPr>
      <w:r>
        <w:rPr>
          <w:rFonts w:ascii="Arial" w:cs="Arial" w:eastAsia="Arial" w:hAnsi="Arial"/>
          <w:b/>
          <w:bCs/>
          <w:color w:val="1B3A6B"/>
          <w:sz w:val="28"/>
          <w:szCs w:val="28"/>
        </w:rPr>
        <w:t xml:space="preserve">4. Recommendations for MOD Customers</w:t>
      </w:r>
    </w:p>
    <w:p>
      <w:pPr>
        <w:pStyle w:val="ListParagraph"/>
        <w:numPr>
          <w:ilvl w:val="0"/>
          <w:numId w:val="2"/>
        </w:numPr>
        <w:spacing w:after="60" w:before="60"/>
      </w:pPr>
      <w:r>
        <w:rPr>
          <w:rFonts w:ascii="Arial" w:cs="Arial" w:eastAsia="Arial" w:hAnsi="Arial"/>
          <w:sz w:val="22"/>
          <w:szCs w:val="22"/>
        </w:rPr>
        <w:t xml:space="preserve">NOVA should be accessed from MOD-managed devices with current endpoint protection.</w:t>
      </w:r>
    </w:p>
    <w:p>
      <w:pPr>
        <w:pStyle w:val="ListParagraph"/>
        <w:numPr>
          <w:ilvl w:val="0"/>
          <w:numId w:val="2"/>
        </w:numPr>
        <w:spacing w:after="60" w:before="60"/>
      </w:pPr>
      <w:r>
        <w:rPr>
          <w:rFonts w:ascii="Arial" w:cs="Arial" w:eastAsia="Arial" w:hAnsi="Arial"/>
          <w:sz w:val="22"/>
          <w:szCs w:val="22"/>
        </w:rPr>
        <w:t xml:space="preserve">MOD organisations should not process OFFICIAL-SENSITIVE project data through NOVA without specific approval from their RAISO.</w:t>
      </w:r>
    </w:p>
    <w:p>
      <w:pPr>
        <w:pStyle w:val="ListParagraph"/>
        <w:numPr>
          <w:ilvl w:val="0"/>
          <w:numId w:val="2"/>
        </w:numPr>
        <w:spacing w:after="60" w:before="60"/>
      </w:pPr>
      <w:r>
        <w:rPr>
          <w:rFonts w:ascii="Arial" w:cs="Arial" w:eastAsia="Arial" w:hAnsi="Arial"/>
          <w:sz w:val="22"/>
          <w:szCs w:val="22"/>
        </w:rPr>
        <w:t xml:space="preserve">MOD IT security teams should be notified of NOVA’s data flows (particularly Anthropic API US routing) and clearance obtained per local security policy before use.</w:t>
      </w:r>
    </w:p>
    <w:p>
      <w:pPr>
        <w:pStyle w:val="ListParagraph"/>
        <w:numPr>
          <w:ilvl w:val="0"/>
          <w:numId w:val="2"/>
        </w:numPr>
        <w:spacing w:after="60" w:before="60"/>
      </w:pPr>
      <w:r>
        <w:rPr>
          <w:rFonts w:ascii="Arial" w:cs="Arial" w:eastAsia="Arial" w:hAnsi="Arial"/>
          <w:sz w:val="22"/>
          <w:szCs w:val="22"/>
        </w:rPr>
        <w:t xml:space="preserve">User accounts should use government email addresses where possible.</w:t>
      </w:r>
    </w:p>
    <w:p>
      <w:pPr>
        <w:pStyle w:val="ListParagraph"/>
        <w:numPr>
          <w:ilvl w:val="0"/>
          <w:numId w:val="2"/>
        </w:numPr>
        <w:spacing w:after="60" w:before="60"/>
      </w:pPr>
      <w:r>
        <w:rPr>
          <w:rFonts w:ascii="Arial" w:cs="Arial" w:eastAsia="Arial" w:hAnsi="Arial"/>
          <w:sz w:val="22"/>
          <w:szCs w:val="22"/>
        </w:rPr>
        <w:t xml:space="preserve">MOD customers should review Anthropic’s Enterprise data handling commitments if processing sensitive OFFICIAL content.</w:t>
      </w:r>
    </w:p>
    <w:p>
      <w:pPr>
        <w:spacing w:before="200"/>
      </w:pPr>
    </w:p>
    <w:p>
      <w:pPr>
        <w:pStyle w:val="Heading1"/>
        <w:pBdr>
          <w:bottom w:val="single" w:color="1A5C38" w:sz="4" w:space="4"/>
        </w:pBdr>
        <w:spacing w:after="160" w:before="320"/>
      </w:pPr>
      <w:r>
        <w:rPr>
          <w:rFonts w:ascii="Arial" w:cs="Arial" w:eastAsia="Arial" w:hAnsi="Arial"/>
          <w:b/>
          <w:bCs/>
          <w:color w:val="1B3A6B"/>
          <w:sz w:val="28"/>
          <w:szCs w:val="28"/>
        </w:rPr>
        <w:t xml:space="preserve">5. Overall Security Risk Rating</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FFF3CD" w:val="clear"/>
            <w:tcMar>
              <w:top w:type="dxa" w:w="120"/>
              <w:left w:type="dxa" w:w="200"/>
              <w:bottom w:type="dxa" w:w="120"/>
              <w:right w:type="dxa" w:w="200"/>
            </w:tcMar>
          </w:tcPr>
          <w:p>
            <w:r>
              <w:rPr>
                <w:rFonts w:ascii="Arial" w:cs="Arial" w:eastAsia="Arial" w:hAnsi="Arial"/>
                <w:b/>
                <w:bCs/>
                <w:color w:val="1B3A6B"/>
                <w:sz w:val="20"/>
                <w:szCs w:val="20"/>
              </w:rPr>
              <w:t xml:space="preserve">Overall Security Risk:  </w:t>
            </w:r>
            <w:r>
              <w:rPr>
                <w:rFonts w:ascii="Arial" w:cs="Arial" w:eastAsia="Arial" w:hAnsi="Arial"/>
                <w:sz w:val="20"/>
                <w:szCs w:val="20"/>
              </w:rPr>
              <w:t xml:space="preserve">LOW to MODERATE. The primary risk is user error (uploading above-OFFICIAL material). Technical controls are strong across all service providers. Data flows are to US-based services — MOD customers must satisfy themselves this is acceptable under their data handling policy. No SECRET-capable architecture is in place or planned.</w:t>
            </w:r>
          </w:p>
        </w:tc>
      </w:tr>
    </w:tbl>
    <w:p>
      <w:pPr>
        <w:spacing w:before="200"/>
      </w:pPr>
    </w:p>
    <w:p>
      <w:pPr>
        <w:pStyle w:val="Heading1"/>
        <w:pBdr>
          <w:bottom w:val="single" w:color="1A5C38" w:sz="4" w:space="4"/>
        </w:pBdr>
        <w:spacing w:after="160" w:before="320"/>
      </w:pPr>
      <w:r>
        <w:rPr>
          <w:rFonts w:ascii="Arial" w:cs="Arial" w:eastAsia="Arial" w:hAnsi="Arial"/>
          <w:b/>
          <w:bCs/>
          <w:color w:val="1B3A6B"/>
          <w:sz w:val="28"/>
          <w:szCs w:val="28"/>
        </w:rPr>
        <w:t xml:space="preserve">6. Document Control</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7006"/>
      </w:tblGrid>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Document Owner</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Will Kennedy-Long FLPI, FITOL</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Version</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v1.0</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Date</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8 March 2026</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Next Review</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March 2027 or on material change to architecture</w:t>
            </w:r>
          </w:p>
        </w:tc>
      </w:tr>
    </w:tbl>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6B" w:sz="4"/>
      </w:pBdr>
      <w:tabs>
        <w:tab w:val="center" w:pos="4500"/>
        <w:tab w:val="right" w:pos="9000"/>
      </w:tabs>
      <w:spacing w:before="80"/>
    </w:pPr>
    <w:r>
      <w:rPr>
        <w:rFonts w:ascii="Arial" w:cs="Arial" w:eastAsia="Arial" w:hAnsi="Arial"/>
        <w:i/>
        <w:iCs/>
        <w:color w:val="666666"/>
        <w:sz w:val="14"/>
        <w:szCs w:val="14"/>
      </w:rPr>
      <w:t xml:space="preserve">⚠ AI-Generated Content: This document was produced with AI assistance via NOVA™. </w:t>
    </w:r>
    <w:r>
      <w:rPr>
        <w:rFonts w:ascii="Arial" w:cs="Arial" w:eastAsia="Arial" w:hAnsi="Arial"/>
        <w:sz w:val="14"/>
        <w:szCs w:val="14"/>
      </w:rPr>
      <w:t xml:space="preserve">	</w:t>
    </w:r>
    <w:r>
      <w:rPr>
        <w:rFonts w:ascii="Arial" w:cs="Arial" w:eastAsia="Arial" w:hAnsi="Arial"/>
        <w:sz w:val="14"/>
        <w:szCs w:val="14"/>
      </w:rPr>
      <w:t xml:space="preserve">	</w:t>
    </w:r>
    <w:r>
      <w:rPr>
        <w:rFonts w:ascii="Arial" w:cs="Arial" w:eastAsia="Arial" w:hAnsi="Arial"/>
        <w:color w:val="1B3A6B"/>
        <w:sz w:val="16"/>
        <w:szCs w:val="16"/>
      </w:rPr>
      <w:t xml:space="preserve">Page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6"/>
      </w:pBdr>
      <w:spacing w:after="80"/>
    </w:pPr>
    <w:r>
      <w:rPr>
        <w:rFonts w:ascii="Arial" w:cs="Arial" w:eastAsia="Arial" w:hAnsi="Arial"/>
        <w:b/>
        <w:bCs/>
        <w:color w:val="1B3A6B"/>
        <w:sz w:val="18"/>
        <w:szCs w:val="18"/>
      </w:rPr>
      <w:t xml:space="preserve">NOVA™  |  </w:t>
    </w:r>
    <w:r>
      <w:rPr>
        <w:rFonts w:ascii="Arial" w:cs="Arial" w:eastAsia="Arial" w:hAnsi="Arial"/>
        <w:color w:val="1B3A6B"/>
        <w:sz w:val="18"/>
        <w:szCs w:val="18"/>
      </w:rPr>
      <w:t xml:space="preserve">Security Risk Assessment</w:t>
    </w:r>
    <w:r>
      <w:rPr>
        <w:rFonts w:ascii="Arial" w:cs="Arial" w:eastAsia="Arial" w:hAnsi="Arial"/>
        <w:sz w:val="18"/>
        <w:szCs w:val="18"/>
      </w:rPr>
      <w:t xml:space="preserve">    </w:t>
    </w:r>
    <w:r>
      <w:rPr>
        <w:rFonts w:ascii="Arial" w:cs="Arial" w:eastAsia="Arial" w:hAnsi="Arial"/>
        <w:b/>
        <w:bCs/>
        <w:color w:val="1A5C38"/>
        <w:sz w:val="18"/>
        <w:szCs w:val="18"/>
      </w:rPr>
      <w:t xml:space="preserve">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B3A6B"/>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B3A6B"/>
      <w:sz w:val="24"/>
      <w:szCs w:val="24"/>
    </w:rPr>
  </w:style>
  <w:style w:type="paragraph" w:styleId="Heading3">
    <w:name w:val="Heading 3"/>
    <w:basedOn w:val="Normal"/>
    <w:next w:val="Normal"/>
    <w:qFormat/>
    <w:pPr>
      <w:spacing w:after="80" w:before="180"/>
      <w:outlineLvl w:val="2"/>
    </w:pPr>
    <w:rPr>
      <w:rFonts w:ascii="Arial" w:cs="Arial" w:eastAsia="Arial" w:hAnsi="Arial"/>
      <w:b/>
      <w:bCs/>
      <w:color w:val="1A5C3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2026-03-08T17:19:27.039Z</dcterms:created>
  <dcterms:modified xsi:type="dcterms:W3CDTF">2026-03-08T17:19:27.039Z</dcterms:modified>
</cp:coreProperties>
</file>

<file path=docProps/custom.xml><?xml version="1.0" encoding="utf-8"?>
<Properties xmlns="http://schemas.openxmlformats.org/officeDocument/2006/custom-properties" xmlns:vt="http://schemas.openxmlformats.org/officeDocument/2006/docPropsVTypes"/>
</file>