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Bdr>
          <w:top w:val="single" w:color="1B3A6B" w:sz="24"/>
          <w:bottom w:val="single" w:color="1A5C38" w:sz="24"/>
        </w:pBdr>
        <w:shd w:fill="1B3A6B" w:val="clear"/>
        <w:spacing w:after="0" w:before="0"/>
        <w:jc w:val="center"/>
      </w:pPr>
      <w:r>
        <w:rPr>
          <w:rFonts w:ascii="Arial" w:cs="Arial" w:eastAsia="Arial" w:hAnsi="Arial"/>
          <w:b/>
          <w:bCs/>
          <w:color w:val="FFCC00"/>
          <w:sz w:val="18"/>
          <w:szCs w:val="18"/>
        </w:rPr>
        <w:t xml:space="preserve">⚠ ARTIFICIAL INTELLIGENCE DISCLOSURE</w:t>
      </w:r>
      <w:r>
        <w:rPr>
          <w:rFonts w:ascii="Arial" w:cs="Arial" w:eastAsia="Arial" w:hAnsi="Arial"/>
          <w:color w:val="FFFFFF"/>
          <w:sz w:val="16"/>
          <w:szCs w:val="16"/>
        </w:rPr>
        <w:t xml:space="preserve">   This document was produced with AI assistance via NOVA™ (Anthropic Claude Sonnet / Pinecone RAG). All content has been reviewed and signed off by the named responsible person. Human approval constitutes acceptance of accuracy and doctrinal compliance.   </w:t>
      </w:r>
    </w:p>
    <w:p>
      <w:pPr>
        <w:spacing w:before="240"/>
      </w:pPr>
    </w:p>
    <w:p>
      <w:r>
        <w:rPr>
          <w:rFonts w:ascii="Arial" w:cs="Arial" w:eastAsia="Arial" w:hAnsi="Arial"/>
          <w:b/>
          <w:bCs/>
          <w:color w:val="1B3A6B"/>
          <w:sz w:val="44"/>
          <w:szCs w:val="44"/>
        </w:rPr>
        <w:t xml:space="preserve">STATEMENT OF AI ETHICS ASSURANCE</w:t>
      </w:r>
    </w:p>
    <w:p>
      <w:pPr>
        <w:spacing w:after="80" w:before="0"/>
      </w:pPr>
      <w:r>
        <w:rPr>
          <w:rFonts w:ascii="Arial" w:cs="Arial" w:eastAsia="Arial" w:hAnsi="Arial"/>
          <w:b/>
          <w:bCs/>
          <w:color w:val="1A5C38"/>
          <w:sz w:val="28"/>
          <w:szCs w:val="28"/>
        </w:rPr>
        <w:t xml:space="preserve">NOVA™ — Agentic Allied Defence Training Platform</w:t>
      </w:r>
    </w:p>
    <w:p>
      <w:pPr>
        <w:spacing w:after="320" w:before="0"/>
      </w:pPr>
      <w:r>
        <w:rPr>
          <w:rFonts w:ascii="Arial" w:cs="Arial" w:eastAsia="Arial" w:hAnsi="Arial"/>
          <w:sz w:val="22"/>
          <w:szCs w:val="22"/>
        </w:rPr>
        <w:t xml:space="preserve">Document Ref: NOVA-SAEA-001  |  Annual Statement  |  </w:t>
      </w:r>
      <w:r>
        <w:rPr>
          <w:rFonts w:ascii="Arial" w:cs="Arial" w:eastAsia="Arial" w:hAnsi="Arial"/>
          <w:sz w:val="22"/>
          <w:szCs w:val="22"/>
        </w:rPr>
        <w:t xml:space="preserve">8 March 2026</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9506"/>
      </w:tblGrid>
      <w:tr>
        <w:tc>
          <w:tcPr>
            <w:tcW w:type="dxa" w:w="9506"/>
            <w:tcBorders>
              <w:top w:val="single" w:color="CCCCCC" w:sz="1"/>
              <w:left w:val="single" w:color="CCCCCC" w:sz="1"/>
              <w:bottom w:val="single" w:color="CCCCCC" w:sz="1"/>
              <w:right w:val="single" w:color="CCCCCC" w:sz="1"/>
            </w:tcBorders>
            <w:shd w:fill="D6E0F0" w:val="clear"/>
            <w:tcMar>
              <w:top w:type="dxa" w:w="120"/>
              <w:left w:type="dxa" w:w="200"/>
              <w:bottom w:type="dxa" w:w="120"/>
              <w:right w:type="dxa" w:w="200"/>
            </w:tcMar>
          </w:tcPr>
          <w:p>
            <w:r>
              <w:rPr>
                <w:rFonts w:ascii="Arial" w:cs="Arial" w:eastAsia="Arial" w:hAnsi="Arial"/>
                <w:b/>
                <w:bCs/>
                <w:color w:val="1B3A6B"/>
                <w:sz w:val="20"/>
                <w:szCs w:val="20"/>
              </w:rPr>
              <w:t xml:space="preserve">JSP 936 Reference:  </w:t>
            </w:r>
            <w:r>
              <w:rPr>
                <w:rFonts w:ascii="Arial" w:cs="Arial" w:eastAsia="Arial" w:hAnsi="Arial"/>
                <w:sz w:val="20"/>
                <w:szCs w:val="20"/>
              </w:rPr>
              <w:t xml:space="preserve">JSP 936 V1.1 §99 — TLB Executive Boards must provide Statements of AI Ethical Assurance to 2PUS on an annual basis, underpinned by auditable evidence. This document is the supplier-level statement supporting that obligation for any MOD TLB using NOVA™.</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1. Statement</w:t>
      </w:r>
    </w:p>
    <w:p>
      <w:pPr>
        <w:spacing w:after="120" w:before="80"/>
      </w:pPr>
      <w:r>
        <w:rPr>
          <w:rFonts w:ascii="Arial" w:cs="Arial" w:eastAsia="Arial" w:hAnsi="Arial"/>
          <w:b w:val="false"/>
          <w:bCs w:val="false"/>
          <w:i w:val="false"/>
          <w:iCs w:val="false"/>
          <w:color w:val="1A1A1A"/>
          <w:sz w:val="22"/>
          <w:szCs w:val="22"/>
        </w:rPr>
        <w:t xml:space="preserve">I, Will Kennedy-Long FLPI, FITOL, as the developer and responsible person for NOVA™, hereby confirm the following in respect of the NOVA™ Agentic Allied Defence Training Platform for the period ending 8 March 2026:</w:t>
      </w:r>
    </w:p>
    <w:p>
      <w:pPr>
        <w:spacing w:before="120"/>
      </w:pP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500"/>
        <w:gridCol w:w="4000"/>
        <w:gridCol w:w="2500"/>
        <w:gridCol w:w="2506"/>
      </w:tblGrid>
      <w:tr>
        <w:trPr>
          <w:tblHeader/>
        </w:trPr>
        <w:tc>
          <w:tcPr>
            <w:tcW w:type="dxa" w:w="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
            </w:r>
          </w:p>
        </w:tc>
        <w:tc>
          <w:tcPr>
            <w:tcW w:type="dxa" w:w="40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Assurance Statement</w:t>
            </w:r>
          </w:p>
        </w:tc>
        <w:tc>
          <w:tcPr>
            <w:tcW w:type="dxa" w:w="2500"/>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JSP 936 Reference</w:t>
            </w:r>
          </w:p>
        </w:tc>
        <w:tc>
          <w:tcPr>
            <w:tcW w:type="dxa" w:w="2506"/>
            <w:tcBorders>
              <w:top w:val="single" w:color="CCCCCC" w:sz="1"/>
              <w:left w:val="single" w:color="CCCCCC" w:sz="1"/>
              <w:bottom w:val="single" w:color="CCCCCC" w:sz="1"/>
              <w:right w:val="single" w:color="CCCCCC" w:sz="1"/>
            </w:tcBorders>
            <w:shd w:fill="1B3A6B" w:val="clear"/>
            <w:tcMar>
              <w:top w:type="dxa" w:w="80"/>
              <w:left w:type="dxa" w:w="120"/>
              <w:bottom w:type="dxa" w:w="80"/>
              <w:right w:type="dxa" w:w="120"/>
            </w:tcMar>
            <w:vAlign w:val="top"/>
          </w:tcPr>
          <w:p>
            <w:r>
              <w:rPr>
                <w:rFonts w:ascii="Arial" w:cs="Arial" w:eastAsia="Arial" w:hAnsi="Arial"/>
                <w:b/>
                <w:bCs/>
                <w:color w:val="FFFFFF"/>
                <w:sz w:val="20"/>
                <w:szCs w:val="20"/>
              </w:rPr>
              <w:t xml:space="preserve">Evidence Reference</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has been assessed against all five MOD AI Ethical Principles (Human-Centricity, Responsibility, Understanding, Bias &amp; Harm Mitigation, Reliability)</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§49–50</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NOVA-AERA-001</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An AI Ethical Risk Assessment has been completed and the overall residual risk is rated MODERATE (TLB-Level Oversight)</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§86–90</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NOVA-AERA-001</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All AI-generated documents carry mandatory AI Disclosure statements on cover and footer per JSP 936 §40</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§40</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v1.0 platform</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 Model Card has been published documenting AI components, ODD, performance, limitations and data handling</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Cover Note</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NOVA-MC-001</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 Security Risk Assessment has been completed covering all data flows, third-party services and classification constraints</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§195–197</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NOVA-SRA-001</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A Bias and Harm Mitigation Analysis has been completed and documented</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§69–70</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NOVA-BHMA-001</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Human control is embedded at every stage: no output is finalised without positive human review and "Mark Complete" action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§56–58</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v1.0 platform</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1A5C38"/>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 is classified OFFICIAL only. A classification warning is displayed throughout the platform and in all documentation.</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§195</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NOVA-SRA-001</w:t>
            </w:r>
          </w:p>
        </w:tc>
      </w:tr>
      <w:tr>
        <w:trPr>
          <w:tblHeader w:val="false"/>
        </w:trPr>
        <w:tc>
          <w:tcPr>
            <w:tcW w:type="dxa" w:w="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bCs/>
                <w:color w:val="E65100"/>
                <w:sz w:val="20"/>
                <w:szCs w:val="20"/>
              </w:rPr>
              <w:t xml:space="preserve">⚠</w:t>
            </w:r>
          </w:p>
        </w:tc>
        <w:tc>
          <w:tcPr>
            <w:tcW w:type="dxa" w:w="4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User Training Package (NOVA-UTP-001) is in development. Interim mitigation: Activity Guide and criteria system provide operator guidance.</w:t>
            </w:r>
          </w:p>
        </w:tc>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JSP 936 §130</w:t>
            </w:r>
          </w:p>
        </w:tc>
        <w:tc>
          <w:tcPr>
            <w:tcW w:type="dxa" w:w="25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NOVA-UTP-001 (pending)</w:t>
            </w:r>
          </w:p>
        </w:tc>
      </w:tr>
    </w:tbl>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2. Commitments</w:t>
      </w:r>
    </w:p>
    <w:p>
      <w:pPr>
        <w:spacing w:after="120" w:before="80"/>
      </w:pPr>
      <w:r>
        <w:rPr>
          <w:rFonts w:ascii="Arial" w:cs="Arial" w:eastAsia="Arial" w:hAnsi="Arial"/>
          <w:b w:val="false"/>
          <w:bCs w:val="false"/>
          <w:i w:val="false"/>
          <w:iCs w:val="false"/>
          <w:color w:val="1A1A1A"/>
          <w:sz w:val="22"/>
          <w:szCs w:val="22"/>
        </w:rPr>
        <w:t xml:space="preserve">In support of any MOD TLB Executive Board’s Statement of AI Ethical Assurance to 2PUS, I confirm the following ongoing commitments:</w:t>
      </w:r>
    </w:p>
    <w:p>
      <w:pPr>
        <w:pStyle w:val="ListParagraph"/>
        <w:numPr>
          <w:ilvl w:val="0"/>
          <w:numId w:val="2"/>
        </w:numPr>
        <w:spacing w:after="60" w:before="60"/>
      </w:pPr>
      <w:r>
        <w:rPr>
          <w:rFonts w:ascii="Arial" w:cs="Arial" w:eastAsia="Arial" w:hAnsi="Arial"/>
          <w:sz w:val="22"/>
          <w:szCs w:val="22"/>
        </w:rPr>
        <w:t xml:space="preserve">This Statement will be reviewed and renewed annually, or on material change to NOVA’s AI components, scope or risk profile.</w:t>
      </w:r>
    </w:p>
    <w:p>
      <w:pPr>
        <w:pStyle w:val="ListParagraph"/>
        <w:numPr>
          <w:ilvl w:val="0"/>
          <w:numId w:val="2"/>
        </w:numPr>
        <w:spacing w:after="60" w:before="60"/>
      </w:pPr>
      <w:r>
        <w:rPr>
          <w:rFonts w:ascii="Arial" w:cs="Arial" w:eastAsia="Arial" w:hAnsi="Arial"/>
          <w:sz w:val="22"/>
          <w:szCs w:val="22"/>
        </w:rPr>
        <w:t xml:space="preserve">All supporting evidence documents (NOVA-AERA-001, NOVA-MC-001, NOVA-SRA-001, NOVA-BHMA-001) will be made available to the contracting TLB’s RAISO on request.</w:t>
      </w:r>
    </w:p>
    <w:p>
      <w:pPr>
        <w:pStyle w:val="ListParagraph"/>
        <w:numPr>
          <w:ilvl w:val="0"/>
          <w:numId w:val="2"/>
        </w:numPr>
        <w:spacing w:after="60" w:before="60"/>
      </w:pPr>
      <w:r>
        <w:rPr>
          <w:rFonts w:ascii="Arial" w:cs="Arial" w:eastAsia="Arial" w:hAnsi="Arial"/>
          <w:sz w:val="22"/>
          <w:szCs w:val="22"/>
        </w:rPr>
        <w:t xml:space="preserve">Any material change to NOVA’s AI components (e.g. change of LLM provider or model, change of vector database, change of data residency) will be notified to contracting organisations within 30 days.</w:t>
      </w:r>
    </w:p>
    <w:p>
      <w:pPr>
        <w:pStyle w:val="ListParagraph"/>
        <w:numPr>
          <w:ilvl w:val="0"/>
          <w:numId w:val="2"/>
        </w:numPr>
        <w:spacing w:after="60" w:before="60"/>
      </w:pPr>
      <w:r>
        <w:rPr>
          <w:rFonts w:ascii="Arial" w:cs="Arial" w:eastAsia="Arial" w:hAnsi="Arial"/>
          <w:sz w:val="22"/>
          <w:szCs w:val="22"/>
        </w:rPr>
        <w:t xml:space="preserve">NOVA will monitor Anthropic’s published model cards and safety documentation and incorporate relevant updates into NOVA’s bias and harm analysis.</w:t>
      </w:r>
    </w:p>
    <w:p>
      <w:pPr>
        <w:pStyle w:val="ListParagraph"/>
        <w:numPr>
          <w:ilvl w:val="0"/>
          <w:numId w:val="2"/>
        </w:numPr>
        <w:spacing w:after="60" w:before="60"/>
      </w:pPr>
      <w:r>
        <w:rPr>
          <w:rFonts w:ascii="Arial" w:cs="Arial" w:eastAsia="Arial" w:hAnsi="Arial"/>
          <w:sz w:val="22"/>
          <w:szCs w:val="22"/>
        </w:rPr>
        <w:t xml:space="preserve">The User Training Package (NOVA-UTP-001) will be completed by Q2 2026 and provided to all contracting organisations.</w:t>
      </w:r>
    </w:p>
    <w:p>
      <w:pPr>
        <w:spacing w:before="200"/>
      </w:pPr>
    </w:p>
    <w:p>
      <w:pPr>
        <w:pStyle w:val="Heading1"/>
        <w:pBdr>
          <w:bottom w:val="single" w:color="1A5C38" w:sz="4" w:space="4"/>
        </w:pBdr>
        <w:spacing w:after="160" w:before="320"/>
      </w:pPr>
      <w:r>
        <w:rPr>
          <w:rFonts w:ascii="Arial" w:cs="Arial" w:eastAsia="Arial" w:hAnsi="Arial"/>
          <w:b/>
          <w:bCs/>
          <w:color w:val="1B3A6B"/>
          <w:sz w:val="28"/>
          <w:szCs w:val="28"/>
        </w:rPr>
        <w:t xml:space="preserve">3. Limitations of This Statement</w:t>
      </w:r>
    </w:p>
    <w:p>
      <w:pPr>
        <w:spacing w:after="120" w:before="80"/>
      </w:pPr>
      <w:r>
        <w:rPr>
          <w:rFonts w:ascii="Arial" w:cs="Arial" w:eastAsia="Arial" w:hAnsi="Arial"/>
          <w:b w:val="false"/>
          <w:bCs w:val="false"/>
          <w:i w:val="false"/>
          <w:iCs w:val="false"/>
          <w:color w:val="1A1A1A"/>
          <w:sz w:val="22"/>
          <w:szCs w:val="22"/>
        </w:rPr>
        <w:t xml:space="preserve">This statement covers NOVA™ as a platform and tool. It does not constitute assurance for any specific MOD project or programme that uses NOVA as its tooling. Each MOD TLB remains responsible for:</w:t>
      </w:r>
    </w:p>
    <w:p>
      <w:pPr>
        <w:pStyle w:val="ListParagraph"/>
        <w:numPr>
          <w:ilvl w:val="0"/>
          <w:numId w:val="2"/>
        </w:numPr>
        <w:spacing w:after="60" w:before="60"/>
      </w:pPr>
      <w:r>
        <w:rPr>
          <w:rFonts w:ascii="Arial" w:cs="Arial" w:eastAsia="Arial" w:hAnsi="Arial"/>
          <w:sz w:val="22"/>
          <w:szCs w:val="22"/>
        </w:rPr>
        <w:t xml:space="preserve">Appointing a RAISO and ensuring their organisation’s AI governance is in place per JSP 936 §100–108.</w:t>
      </w:r>
    </w:p>
    <w:p>
      <w:pPr>
        <w:pStyle w:val="ListParagraph"/>
        <w:numPr>
          <w:ilvl w:val="0"/>
          <w:numId w:val="2"/>
        </w:numPr>
        <w:spacing w:after="60" w:before="60"/>
      </w:pPr>
      <w:r>
        <w:rPr>
          <w:rFonts w:ascii="Arial" w:cs="Arial" w:eastAsia="Arial" w:hAnsi="Arial"/>
          <w:sz w:val="22"/>
          <w:szCs w:val="22"/>
        </w:rPr>
        <w:t xml:space="preserve">Conducting project-level AI ethical risk assessments for specific training programmes designed using NOVA.</w:t>
      </w:r>
    </w:p>
    <w:p>
      <w:pPr>
        <w:pStyle w:val="ListParagraph"/>
        <w:numPr>
          <w:ilvl w:val="0"/>
          <w:numId w:val="2"/>
        </w:numPr>
        <w:spacing w:after="60" w:before="60"/>
      </w:pPr>
      <w:r>
        <w:rPr>
          <w:rFonts w:ascii="Arial" w:cs="Arial" w:eastAsia="Arial" w:hAnsi="Arial"/>
          <w:sz w:val="22"/>
          <w:szCs w:val="22"/>
        </w:rPr>
        <w:t xml:space="preserve">Ensuring that TDOs using NOVA are suitably qualified and experienced for the DSAT activities they are conducting.</w:t>
      </w:r>
    </w:p>
    <w:p>
      <w:pPr>
        <w:pStyle w:val="ListParagraph"/>
        <w:numPr>
          <w:ilvl w:val="0"/>
          <w:numId w:val="2"/>
        </w:numPr>
        <w:spacing w:after="60" w:before="60"/>
      </w:pPr>
      <w:r>
        <w:rPr>
          <w:rFonts w:ascii="Arial" w:cs="Arial" w:eastAsia="Arial" w:hAnsi="Arial"/>
          <w:sz w:val="22"/>
          <w:szCs w:val="22"/>
        </w:rPr>
        <w:t xml:space="preserve">Ensuring that all outputs generated by NOVA are reviewed and approved by a subject matter expert before use.</w:t>
      </w:r>
    </w:p>
    <w:p>
      <w:pPr>
        <w:spacing w:before="320"/>
      </w:pPr>
    </w:p>
    <w:p>
      <w:pPr>
        <w:pStyle w:val="Heading1"/>
        <w:pBdr>
          <w:bottom w:val="single" w:color="1A5C38" w:sz="4" w:space="4"/>
        </w:pBdr>
        <w:spacing w:after="160" w:before="320"/>
      </w:pPr>
      <w:r>
        <w:rPr>
          <w:rFonts w:ascii="Arial" w:cs="Arial" w:eastAsia="Arial" w:hAnsi="Arial"/>
          <w:b/>
          <w:bCs/>
          <w:color w:val="1B3A6B"/>
          <w:sz w:val="28"/>
          <w:szCs w:val="28"/>
        </w:rPr>
        <w:t xml:space="preserve">4. Sign-Off</w:t>
      </w:r>
    </w:p>
    <w:tbl>
      <w:tblPr>
        <w:tblW w:type="dxa" w:w="9506"/>
        <w:tblBorders>
          <w:top w:val="single" w:color="auto" w:sz="4"/>
          <w:left w:val="single" w:color="auto" w:sz="4"/>
          <w:bottom w:val="single" w:color="auto" w:sz="4"/>
          <w:right w:val="single" w:color="auto" w:sz="4"/>
          <w:insideH w:val="single" w:color="auto" w:sz="4"/>
          <w:insideV w:val="single" w:color="auto" w:sz="4"/>
        </w:tblBorders>
      </w:tblPr>
      <w:tblGrid>
        <w:gridCol w:w="2500"/>
        <w:gridCol w:w="7006"/>
      </w:tblGrid>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Name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Will Kennedy-Long FLPI, FITOL</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Role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Founder and Responsible Person, NOVA™ Agentic Allied Defence Training Platform</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Date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8 March 2026</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Signature</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(Signed electronically)</w:t>
            </w:r>
          </w:p>
        </w:tc>
      </w:tr>
      <w:tr>
        <w:trPr>
          <w:tblHeader w:val="false"/>
        </w:trPr>
        <w:tc>
          <w:tcPr>
            <w:tcW w:type="dxa" w:w="25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Valid Until</w:t>
            </w:r>
          </w:p>
        </w:tc>
        <w:tc>
          <w:tcPr>
            <w:tcW w:type="dxa" w:w="7006"/>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top"/>
          </w:tcPr>
          <w:p>
            <w:r>
              <w:rPr>
                <w:rFonts w:ascii="Arial" w:cs="Arial" w:eastAsia="Arial" w:hAnsi="Arial"/>
                <w:b w:val="false"/>
                <w:bCs w:val="false"/>
                <w:color w:val="1A1A1A"/>
                <w:sz w:val="20"/>
                <w:szCs w:val="20"/>
              </w:rPr>
              <w:t xml:space="preserve">March 2027 (subject to earlier review on material change)</w:t>
            </w:r>
          </w:p>
        </w:tc>
      </w:tr>
    </w:tbl>
    <w:sectPr>
      <w:headerReference w:type="default" r:id="rId7"/>
      <w:footerReference w:type="default" r:id="rId8"/>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B3A6B" w:sz="4"/>
      </w:pBdr>
      <w:tabs>
        <w:tab w:val="center" w:pos="4500"/>
        <w:tab w:val="right" w:pos="9000"/>
      </w:tabs>
      <w:spacing w:before="80"/>
    </w:pPr>
    <w:r>
      <w:rPr>
        <w:rFonts w:ascii="Arial" w:cs="Arial" w:eastAsia="Arial" w:hAnsi="Arial"/>
        <w:i/>
        <w:iCs/>
        <w:color w:val="666666"/>
        <w:sz w:val="14"/>
        <w:szCs w:val="14"/>
      </w:rPr>
      <w:t xml:space="preserve">⚠ AI-Generated Content: This document was produced with AI assistance via NOVA™. </w:t>
    </w:r>
    <w:r>
      <w:rPr>
        <w:rFonts w:ascii="Arial" w:cs="Arial" w:eastAsia="Arial" w:hAnsi="Arial"/>
        <w:sz w:val="14"/>
        <w:szCs w:val="14"/>
      </w:rPr>
      <w:t xml:space="preserve">	</w:t>
    </w:r>
    <w:r>
      <w:rPr>
        <w:rFonts w:ascii="Arial" w:cs="Arial" w:eastAsia="Arial" w:hAnsi="Arial"/>
        <w:sz w:val="14"/>
        <w:szCs w:val="14"/>
      </w:rPr>
      <w:t xml:space="preserve">	</w:t>
    </w:r>
    <w:r>
      <w:rPr>
        <w:rFonts w:ascii="Arial" w:cs="Arial" w:eastAsia="Arial" w:hAnsi="Arial"/>
        <w:color w:val="1B3A6B"/>
        <w:sz w:val="16"/>
        <w:szCs w:val="16"/>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B3A6B" w:sz="6"/>
      </w:pBdr>
      <w:spacing w:after="80"/>
    </w:pPr>
    <w:r>
      <w:rPr>
        <w:rFonts w:ascii="Arial" w:cs="Arial" w:eastAsia="Arial" w:hAnsi="Arial"/>
        <w:b/>
        <w:bCs/>
        <w:color w:val="1B3A6B"/>
        <w:sz w:val="18"/>
        <w:szCs w:val="18"/>
      </w:rPr>
      <w:t xml:space="preserve">NOVA™  |  </w:t>
    </w:r>
    <w:r>
      <w:rPr>
        <w:rFonts w:ascii="Arial" w:cs="Arial" w:eastAsia="Arial" w:hAnsi="Arial"/>
        <w:color w:val="1B3A6B"/>
        <w:sz w:val="18"/>
        <w:szCs w:val="18"/>
      </w:rPr>
      <w:t xml:space="preserve">Statement of AI Ethics Assurance</w:t>
    </w:r>
    <w:r>
      <w:rPr>
        <w:rFonts w:ascii="Arial" w:cs="Arial" w:eastAsia="Arial" w:hAnsi="Arial"/>
        <w:sz w:val="18"/>
        <w:szCs w:val="18"/>
      </w:rPr>
      <w:t xml:space="preserve">    </w:t>
    </w:r>
    <w:r>
      <w:rPr>
        <w:rFonts w:ascii="Arial" w:cs="Arial" w:eastAsia="Arial" w:hAnsi="Arial"/>
        <w:b/>
        <w:bCs/>
        <w:color w:val="1A5C38"/>
        <w:sz w:val="18"/>
        <w:szCs w:val="18"/>
      </w:rPr>
      <w:t xml:space="preserve">OFFICIAL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B3A6B"/>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B3A6B"/>
      <w:sz w:val="24"/>
      <w:szCs w:val="24"/>
    </w:rPr>
  </w:style>
  <w:style w:type="paragraph" w:styleId="Heading3">
    <w:name w:val="Heading 3"/>
    <w:basedOn w:val="Normal"/>
    <w:next w:val="Normal"/>
    <w:qFormat/>
    <w:pPr>
      <w:spacing w:after="80" w:before="180"/>
      <w:outlineLvl w:val="2"/>
    </w:pPr>
    <w:rPr>
      <w:rFonts w:ascii="Arial" w:cs="Arial" w:eastAsia="Arial" w:hAnsi="Arial"/>
      <w:b/>
      <w:bCs/>
      <w:color w:val="1A5C38"/>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2026-03-08T17:19:26.883Z</dcterms:created>
  <dcterms:modified xsi:type="dcterms:W3CDTF">2026-03-08T17:19:26.883Z</dcterms:modified>
</cp:coreProperties>
</file>

<file path=docProps/custom.xml><?xml version="1.0" encoding="utf-8"?>
<Properties xmlns="http://schemas.openxmlformats.org/officeDocument/2006/custom-properties" xmlns:vt="http://schemas.openxmlformats.org/officeDocument/2006/docPropsVTypes"/>
</file>