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B3A6B" w:sz="24"/>
          <w:bottom w:val="single" w:color="1A5C38" w:sz="24"/>
        </w:pBdr>
        <w:shd w:fill="1B3A6B" w:val="clear"/>
        <w:spacing w:after="0" w:before="0"/>
        <w:jc w:val="center"/>
      </w:pPr>
      <w:r>
        <w:rPr>
          <w:rFonts w:ascii="Arial" w:cs="Arial" w:eastAsia="Arial" w:hAnsi="Arial"/>
          <w:b/>
          <w:bCs/>
          <w:color w:val="FFCC00"/>
          <w:sz w:val="18"/>
          <w:szCs w:val="18"/>
        </w:rPr>
        <w:t xml:space="preserve">⚠ ARTIFICIAL INTELLIGENCE DISCLOSURE</w:t>
      </w:r>
      <w:r>
        <w:rPr>
          <w:rFonts w:ascii="Arial" w:cs="Arial" w:eastAsia="Arial" w:hAnsi="Arial"/>
          <w:color w:val="FFFFFF"/>
          <w:sz w:val="16"/>
          <w:szCs w:val="16"/>
        </w:rPr>
        <w:t xml:space="preserve">   This document was produced with AI assistance via NOVA™ (Anthropic Claude Sonnet / Pinecone RAG). All content has been reviewed and signed off by the named responsible person. Human approval constitutes acceptance of accuracy and doctrinal compliance.   </w:t>
      </w:r>
    </w:p>
    <w:p>
      <w:pPr>
        <w:spacing w:before="240"/>
      </w:pPr>
    </w:p>
    <w:p>
      <w:r>
        <w:rPr>
          <w:rFonts w:ascii="Arial" w:cs="Arial" w:eastAsia="Arial" w:hAnsi="Arial"/>
          <w:b/>
          <w:bCs/>
          <w:color w:val="1B3A6B"/>
          <w:sz w:val="52"/>
          <w:szCs w:val="52"/>
        </w:rPr>
        <w:t xml:space="preserve">NOVA™ MODEL CARD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A5C38"/>
          <w:sz w:val="28"/>
          <w:szCs w:val="28"/>
        </w:rPr>
        <w:t xml:space="preserve">NOVA™ — Agentic Allied Defence Training Platform</w:t>
      </w:r>
    </w:p>
    <w:p>
      <w:pPr>
        <w:spacing w:after="320" w:before="0"/>
      </w:pPr>
      <w:r>
        <w:rPr>
          <w:rFonts w:ascii="Arial" w:cs="Arial" w:eastAsia="Arial" w:hAnsi="Arial"/>
          <w:sz w:val="22"/>
          <w:szCs w:val="22"/>
        </w:rPr>
        <w:t xml:space="preserve">Document Ref: NOVA-MC-001  |  </w:t>
      </w:r>
      <w:r>
        <w:rPr>
          <w:rFonts w:ascii="Arial" w:cs="Arial" w:eastAsia="Arial" w:hAnsi="Arial"/>
          <w:sz w:val="22"/>
          <w:szCs w:val="22"/>
        </w:rPr>
        <w:t xml:space="preserve">8 March 2026  |  Will Kennedy-Long FLPI, FITOL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JSP 936 Reference: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Cover Note (Nov 2024) — Model Card is a required Minimum Viable Product for AI-enabled Defence systems. JSP 936 §63 — appropriate mechanisms must permit stakeholder understanding of AI development and operation.</w:t>
            </w:r>
          </w:p>
        </w:tc>
      </w:tr>
    </w:tbl>
    <w:p>
      <w:pPr>
        <w:spacing w:before="160"/>
      </w:pPr>
    </w:p>
    <w:p>
      <w:pPr>
        <w:pStyle w:val="Heading1"/>
        <w:pBdr>
          <w:bottom w:val="single" w:color="1A5C38" w:sz="4" w:space="4"/>
        </w:pBdr>
        <w:spacing w:after="160" w:before="3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1. Model Details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006"/>
      </w:tblGrid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Platform Name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NOVA™ — Agentic Allied Defence Training Platform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Version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v1.0 (March 2026)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Developed by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Will Kennedy-Long FLPI, FITOL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AI Model (LLM)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Claude Sonnet 4.6 — Anthropic PBC (claude-sonnet-4-6)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Retrieval System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Pinecone Vector Database — 4 doctrine indexes: nova-uk-doctrine, nova-us-doctrine, nova-nato-doctrine, nova-asd-doctrine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Embedding Model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OpenAI text-embedding-3-small (used for Pinecone ingestion)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Doctrine Corpus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134 doctrine files, 207,000+ lines. UK (JSP 822, DTSM 1–5), US (TRADOC 350-70), NATO (Bi-SC 75-7), ASD/AIA (S6000T)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OFFICIAL only. Not suitable for OFFICIAL-SENSITIVE, SECRET or above.</w:t>
            </w:r>
          </w:p>
        </w:tc>
      </w:tr>
    </w:tbl>
    <w:p>
      <w:pPr>
        <w:spacing w:before="200"/>
      </w:pPr>
    </w:p>
    <w:p>
      <w:pPr>
        <w:pStyle w:val="Heading1"/>
        <w:pBdr>
          <w:bottom w:val="single" w:color="1A5C38" w:sz="4" w:space="4"/>
        </w:pBdr>
        <w:spacing w:after="160" w:before="3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2. Intended Use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2.1 Primary Use Cases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Automated generation of DSAT-compliant training needs analysis documentation (JSP 822 / DTSM 1–5)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AI-assisted extraction of training data from Statement of Requirement, RolePS, Scoping, TGA, SoTG and FTS source documents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Doctrinal compliance checking of training design documents against JSP 822, DTSM, TRADOC 350-70, NATO Bi-SC and S6000T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Generation of SCORM 1.2 e-learning packages from DSAT Training Objectives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Cross-doctrinal synonym resolution across UK, US, NATO and ASD/AIA frameworks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2.2 Out-of-Scope Use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WARNING — NOVA must NOT be used for: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Kinetic targeting or weapons selection | Command and control decision support | Intelligence analysis or threat assessment | Processing of SECRET or above classified material | Any application outside the bounded domain of training design documentation</w:t>
            </w:r>
          </w:p>
        </w:tc>
      </w:tr>
    </w:tbl>
    <w:p>
      <w:pPr>
        <w:spacing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2.3 Operational Design Domain (ODD)</w:t>
      </w:r>
    </w:p>
    <w:p>
      <w:pPr>
        <w:spacing w:after="12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NOVA is designed and tested to operate within the following bounded context: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00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ODD Dimension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Domain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Defence training design and DSAT lifecycle documentation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Users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Trained TDOs and training design specialists with DSAT knowledge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Documents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SoR, RolePS, Scoping, TGA, SoTG, FTS, TNA activities (21 activities across 4 DSAT phases)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Language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English only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OFFICIAL only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Frameworks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JSP 822, DTSM 1–5, TRADOC 350-70, NATO Bi-SC 75-7, ASD/AIA S6000T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5C38" w:sz="4" w:space="4"/>
        </w:pBdr>
        <w:spacing w:after="160" w:before="3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3. Performance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3.1 Reported Metrics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3006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Basis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Doctrinal Compliance Rate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96%+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Testing against EW Course 2303C documents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DSAT Cycle Time Reduction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4,400 hrs → ~3 hrs (99.9%)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Comparison of manual vs NOVA-assisted TNA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Cost Reduction (est.)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£386K → £50K (87%)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Contractor day rate estimates</w:t>
            </w:r>
          </w:p>
        </w:tc>
      </w:tr>
      <w:tr>
        <w:trPr>
          <w:tblHeader w:val="false"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Synonym Coverage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1,519+ terms, 9,647 synonyms</w:t>
            </w:r>
          </w:p>
        </w:tc>
        <w:tc>
          <w:tcPr>
            <w:tcW w:type="dxa" w:w="3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178 cross-doctrinal categories</w:t>
            </w:r>
          </w:p>
        </w:tc>
      </w:tr>
    </w:tbl>
    <w:p>
      <w:pPr>
        <w:spacing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3.2 Known Limitations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Claude Sonnet may generate plausible-sounding but doctrinally incorrect content if doctrine retrieval fails. Human review mitigates this.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RAG retrieval quality depends on doctrine index completeness. Doctrine files are verified but may not reflect very recent amendments.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NOVA does not process audio, video or image content within source documents.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Performance degrades outside the defined ODD. NOVA should not be used for roles, frameworks or document types not covered in the doctrine index.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English language only. No support for non-English source documents.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Pinecone retrieval is dependent on US-hosted service. Downtime affects AI generation capability (graceful degradation to non-AI mode).</w:t>
      </w:r>
    </w:p>
    <w:p>
      <w:pPr>
        <w:spacing w:before="200"/>
      </w:pPr>
    </w:p>
    <w:p>
      <w:pPr>
        <w:pStyle w:val="Heading1"/>
        <w:pBdr>
          <w:bottom w:val="single" w:color="1A5C38" w:sz="4" w:space="4"/>
        </w:pBdr>
        <w:spacing w:after="160" w:before="3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4. Data and Privacy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00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Category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Handling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User-uploaded documents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Parsed client-side (PizZip/fast-xml-parser CDN) or transiently via Railway backend. Not persistently stored beyond user session.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AI prompts / completions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Sent to Anthropic API. Per Anthropic API Terms of Service, prompts are not used to train models. No persistent storage by Anthropic for API customers.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Activity data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Stored in Cloudflare D1/KV under user account. User-controlled. Exportable at any time.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Doctrine content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Stored in Pinecone vector DB. Doctrine files only. No user PII.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PII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Minimal. User email/name for account only. Not passed to AI services.</w:t>
            </w:r>
          </w:p>
        </w:tc>
      </w:tr>
    </w:tbl>
    <w:p>
      <w:pPr>
        <w:spacing w:before="200"/>
      </w:pPr>
    </w:p>
    <w:p>
      <w:pPr>
        <w:pStyle w:val="Heading1"/>
        <w:pBdr>
          <w:bottom w:val="single" w:color="1A5C38" w:sz="4" w:space="4"/>
        </w:pBdr>
        <w:spacing w:after="160" w:before="3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5. Ethical Considerations</w:t>
      </w:r>
    </w:p>
    <w:p>
      <w:pPr>
        <w:spacing w:after="12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This Model Card should be read alongside the NOVA AI Ethical Risk Assessment (NOVA-AERA-001), Bias and Harm Mitigation Analysis (NOVA-BHMA-001) and Security Risk Assessment (NOVA-SRA-001).</w:t>
      </w:r>
    </w:p>
    <w:p>
      <w:pPr>
        <w:spacing w:after="12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NOVA implements the five MOD AI Ethical Principles (ASR 2022) through: mandatory human sign-off at every lifecycle stage; doctrine-grounded generation (RAG); transparent criteria scoring with clause references; AI disclosure on all exports; and a bounded ODD preventing use outside training design.</w:t>
      </w:r>
    </w:p>
    <w:p>
      <w:pPr>
        <w:spacing w:before="200"/>
      </w:pPr>
    </w:p>
    <w:p>
      <w:pPr>
        <w:pStyle w:val="Heading1"/>
        <w:pBdr>
          <w:bottom w:val="single" w:color="1A5C38" w:sz="4" w:space="4"/>
        </w:pBdr>
        <w:spacing w:after="160" w:before="3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6. Document Control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006"/>
      </w:tblGrid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Document Owner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Will Kennedy-Long FLPI, FITOL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Version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v1.0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Date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8 March 2026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Review Frequency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Annual minimum, or on material change to AI components</w:t>
            </w:r>
          </w:p>
        </w:tc>
      </w:tr>
      <w:tr>
        <w:trPr>
          <w:tblHeader w:val="false"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7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March 2027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3A6B" w:sz="4"/>
      </w:pBdr>
      <w:tabs>
        <w:tab w:val="center" w:pos="4500"/>
        <w:tab w:val="right" w:pos="9000"/>
      </w:tabs>
      <w:spacing w:before="80"/>
    </w:pPr>
    <w:r>
      <w:rPr>
        <w:rFonts w:ascii="Arial" w:cs="Arial" w:eastAsia="Arial" w:hAnsi="Arial"/>
        <w:i/>
        <w:iCs/>
        <w:color w:val="666666"/>
        <w:sz w:val="14"/>
        <w:szCs w:val="14"/>
      </w:rPr>
      <w:t xml:space="preserve">⚠ AI-Generated Content: This document was produced with AI assistance via NOVA™. </w:t>
    </w:r>
    <w:r>
      <w:rPr>
        <w:rFonts w:ascii="Arial" w:cs="Arial" w:eastAsia="Arial" w:hAnsi="Arial"/>
        <w:sz w:val="14"/>
        <w:szCs w:val="14"/>
      </w:rPr>
      <w:t xml:space="preserve">	</w:t>
    </w:r>
    <w:r>
      <w:rPr>
        <w:rFonts w:ascii="Arial" w:cs="Arial" w:eastAsia="Arial" w:hAnsi="Arial"/>
        <w:sz w:val="14"/>
        <w:szCs w:val="14"/>
      </w:rPr>
      <w:t xml:space="preserve">	</w:t>
    </w:r>
    <w:r>
      <w:rPr>
        <w:rFonts w:ascii="Arial" w:cs="Arial" w:eastAsia="Arial" w:hAnsi="Arial"/>
        <w:color w:val="1B3A6B"/>
        <w:sz w:val="16"/>
        <w:szCs w:val="16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3A6B" w:sz="6"/>
      </w:pBdr>
      <w:spacing w:after="80"/>
    </w:pP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NOVA™  |  </w:t>
    </w:r>
    <w:r>
      <w:rPr>
        <w:rFonts w:ascii="Arial" w:cs="Arial" w:eastAsia="Arial" w:hAnsi="Arial"/>
        <w:color w:val="1B3A6B"/>
        <w:sz w:val="18"/>
        <w:szCs w:val="18"/>
      </w:rPr>
      <w:t xml:space="preserve">Model Card</w:t>
    </w:r>
    <w:r>
      <w:rPr>
        <w:rFonts w:ascii="Arial" w:cs="Arial" w:eastAsia="Arial" w:hAnsi="Arial"/>
        <w:sz w:val="18"/>
        <w:szCs w:val="18"/>
      </w:rPr>
      <w:t xml:space="preserve">    </w:t>
    </w:r>
    <w:r>
      <w:rPr>
        <w:rFonts w:ascii="Arial" w:cs="Arial" w:eastAsia="Arial" w:hAnsi="Arial"/>
        <w:b/>
        <w:bCs/>
        <w:color w:val="1A5C38"/>
        <w:sz w:val="18"/>
        <w:szCs w:val="18"/>
      </w:rPr>
      <w:t xml:space="preserve"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B3A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3A6B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A5C3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2026-03-08T17:19:26.777Z</dcterms:created>
  <dcterms:modified xsi:type="dcterms:W3CDTF">2026-03-08T17:19:26.777Z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