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1B3A6B" w:sz="24"/>
          <w:bottom w:val="single" w:color="1A5C38" w:sz="24"/>
        </w:pBdr>
        <w:shd w:fill="1B3A6B" w:val="clear"/>
        <w:spacing w:after="0" w:before="0"/>
        <w:jc w:val="center"/>
      </w:pPr>
      <w:r>
        <w:rPr>
          <w:rFonts w:ascii="Arial" w:cs="Arial" w:eastAsia="Arial" w:hAnsi="Arial"/>
          <w:b/>
          <w:bCs/>
          <w:color w:val="FFCC00"/>
          <w:sz w:val="18"/>
          <w:szCs w:val="18"/>
        </w:rPr>
        <w:t xml:space="preserve">⚠ ARTIFICIAL INTELLIGENCE DISCLOSURE</w:t>
      </w:r>
      <w:r>
        <w:rPr>
          <w:rFonts w:ascii="Arial" w:cs="Arial" w:eastAsia="Arial" w:hAnsi="Arial"/>
          <w:color w:val="FFFFFF"/>
          <w:sz w:val="16"/>
          <w:szCs w:val="16"/>
        </w:rPr>
        <w:t xml:space="preserve">   This document was produced with AI assistance via NOVA™ (Anthropic Claude Sonnet / Pinecone RAG). All content has been reviewed and signed off by the named responsible person. Human approval constitutes acceptance of accuracy and doctrinal compliance.   </w:t>
      </w:r>
    </w:p>
    <w:p>
      <w:pPr>
        <w:spacing w:before="240"/>
      </w:pPr>
    </w:p>
    <w:p>
      <w:r>
        <w:rPr>
          <w:rFonts w:ascii="Arial" w:cs="Arial" w:eastAsia="Arial" w:hAnsi="Arial"/>
          <w:b/>
          <w:bCs/>
          <w:color w:val="1B3A6B"/>
          <w:sz w:val="44"/>
          <w:szCs w:val="44"/>
        </w:rPr>
        <w:t xml:space="preserve">BIAS AND HARM MITIGATION ANALYSIS</w:t>
      </w:r>
    </w:p>
    <w:p>
      <w:pPr>
        <w:spacing w:after="80" w:before="0"/>
      </w:pPr>
      <w:r>
        <w:rPr>
          <w:rFonts w:ascii="Arial" w:cs="Arial" w:eastAsia="Arial" w:hAnsi="Arial"/>
          <w:b/>
          <w:bCs/>
          <w:color w:val="1A5C38"/>
          <w:sz w:val="28"/>
          <w:szCs w:val="28"/>
        </w:rPr>
        <w:t xml:space="preserve">NOVA™ — Agentic Allied Defence Training Platform</w:t>
      </w:r>
    </w:p>
    <w:p>
      <w:pPr>
        <w:spacing w:after="320" w:before="0"/>
      </w:pPr>
      <w:r>
        <w:rPr>
          <w:rFonts w:ascii="Arial" w:cs="Arial" w:eastAsia="Arial" w:hAnsi="Arial"/>
          <w:sz w:val="22"/>
          <w:szCs w:val="22"/>
        </w:rPr>
        <w:t xml:space="preserve">Document Ref: NOVA-BHMA-001  |  </w:t>
      </w:r>
      <w:r>
        <w:rPr>
          <w:rFonts w:ascii="Arial" w:cs="Arial" w:eastAsia="Arial" w:hAnsi="Arial"/>
          <w:sz w:val="22"/>
          <w:szCs w:val="22"/>
        </w:rPr>
        <w:t xml:space="preserve">8 March 2026  |  Will Kennedy-Long FLPI, FITOL</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D6E0F0" w:val="clear"/>
            <w:tcMar>
              <w:top w:type="dxa" w:w="120"/>
              <w:left w:type="dxa" w:w="200"/>
              <w:bottom w:type="dxa" w:w="120"/>
              <w:right w:type="dxa" w:w="200"/>
            </w:tcMar>
          </w:tcPr>
          <w:p>
            <w:r>
              <w:rPr>
                <w:rFonts w:ascii="Arial" w:cs="Arial" w:eastAsia="Arial" w:hAnsi="Arial"/>
                <w:b/>
                <w:bCs/>
                <w:color w:val="1B3A6B"/>
                <w:sz w:val="20"/>
                <w:szCs w:val="20"/>
              </w:rPr>
              <w:t xml:space="preserve">JSP 936 Reference:  </w:t>
            </w:r>
            <w:r>
              <w:rPr>
                <w:rFonts w:ascii="Arial" w:cs="Arial" w:eastAsia="Arial" w:hAnsi="Arial"/>
                <w:sz w:val="20"/>
                <w:szCs w:val="20"/>
              </w:rPr>
              <w:t xml:space="preserve">JSP 936 V1.1 §69 — An analysis of data, AI learning algorithms and models must be made for unwanted bias that may lead to unintentional harms. JSP 936 §70 — Where harms may arise, monitoring and mitigation strategies must be developed.</w:t>
            </w:r>
          </w:p>
        </w:tc>
      </w:tr>
    </w:tbl>
    <w:p>
      <w:pPr>
        <w:spacing w:before="160"/>
      </w:pPr>
    </w:p>
    <w:p>
      <w:pPr>
        <w:pStyle w:val="Heading1"/>
        <w:pBdr>
          <w:bottom w:val="single" w:color="1A5C38" w:sz="4" w:space="4"/>
        </w:pBdr>
        <w:spacing w:after="160" w:before="320"/>
      </w:pPr>
      <w:r>
        <w:rPr>
          <w:rFonts w:ascii="Arial" w:cs="Arial" w:eastAsia="Arial" w:hAnsi="Arial"/>
          <w:b/>
          <w:bCs/>
          <w:color w:val="1B3A6B"/>
          <w:sz w:val="28"/>
          <w:szCs w:val="28"/>
        </w:rPr>
        <w:t xml:space="preserve">1. Scope and Purpose</w:t>
      </w:r>
    </w:p>
    <w:p>
      <w:pPr>
        <w:spacing w:after="120" w:before="80"/>
      </w:pPr>
      <w:r>
        <w:rPr>
          <w:rFonts w:ascii="Arial" w:cs="Arial" w:eastAsia="Arial" w:hAnsi="Arial"/>
          <w:b w:val="false"/>
          <w:bCs w:val="false"/>
          <w:i w:val="false"/>
          <w:iCs w:val="false"/>
          <w:color w:val="1A1A1A"/>
          <w:sz w:val="22"/>
          <w:szCs w:val="22"/>
        </w:rPr>
        <w:t xml:space="preserve">This document analyses potential bias and harm vectors in NOVA™ across its AI components (Claude Sonnet LLM, Pinecone RAG) and the NOVA platform design. It identifies mitigations in place and residual risks requiring ongoing monitoring.</w:t>
      </w:r>
    </w:p>
    <w:p>
      <w:pPr>
        <w:spacing w:after="120" w:before="80"/>
      </w:pPr>
      <w:r>
        <w:rPr>
          <w:rFonts w:ascii="Arial" w:cs="Arial" w:eastAsia="Arial" w:hAnsi="Arial"/>
          <w:b w:val="false"/>
          <w:bCs w:val="false"/>
          <w:i w:val="false"/>
          <w:iCs w:val="false"/>
          <w:color w:val="1A1A1A"/>
          <w:sz w:val="22"/>
          <w:szCs w:val="22"/>
        </w:rPr>
        <w:t xml:space="preserve">NOVA operates in the bounded domain of defence training design. It does not make decisions about individuals, determine employment, assess performance, or recommend disciplinary action. This substantially constrains the harm surface compared to AI systems with direct human impact.</w:t>
      </w:r>
    </w:p>
    <w:p>
      <w:pPr>
        <w:pStyle w:val="Heading1"/>
        <w:pBdr>
          <w:bottom w:val="single" w:color="1A5C38" w:sz="4" w:space="4"/>
        </w:pBdr>
        <w:spacing w:after="160" w:before="320"/>
      </w:pPr>
      <w:r>
        <w:rPr>
          <w:rFonts w:ascii="Arial" w:cs="Arial" w:eastAsia="Arial" w:hAnsi="Arial"/>
          <w:b/>
          <w:bCs/>
          <w:color w:val="1B3A6B"/>
          <w:sz w:val="28"/>
          <w:szCs w:val="28"/>
        </w:rPr>
        <w:t xml:space="preserve">2. Potential Bias Vectors</w:t>
      </w:r>
    </w:p>
    <w:p>
      <w:pPr>
        <w:pStyle w:val="Heading2"/>
        <w:spacing w:after="120" w:before="240"/>
      </w:pPr>
      <w:r>
        <w:rPr>
          <w:rFonts w:ascii="Arial" w:cs="Arial" w:eastAsia="Arial" w:hAnsi="Arial"/>
          <w:b/>
          <w:bCs/>
          <w:color w:val="1B3A6B"/>
          <w:sz w:val="24"/>
          <w:szCs w:val="24"/>
        </w:rPr>
        <w:t xml:space="preserve">2.1 LLM Training Data Bias (Claude Sonnet)</w:t>
      </w:r>
    </w:p>
    <w:p>
      <w:pPr>
        <w:spacing w:after="120" w:before="80"/>
      </w:pPr>
      <w:r>
        <w:rPr>
          <w:rFonts w:ascii="Arial" w:cs="Arial" w:eastAsia="Arial" w:hAnsi="Arial"/>
          <w:b w:val="false"/>
          <w:bCs w:val="false"/>
          <w:i w:val="false"/>
          <w:iCs w:val="false"/>
          <w:color w:val="1A1A1A"/>
          <w:sz w:val="22"/>
          <w:szCs w:val="22"/>
        </w:rPr>
        <w:t xml:space="preserve">Claude Sonnet (Anthropic) is trained on large-scale internet and curated text corpora. Potential biases include:</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3503"/>
        <w:gridCol w:w="3503"/>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Bias Vector</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NOVA-Specific Risk</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Mitigation</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Western / English-language bias in training data</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 — NOVA operates in English within Allied frameworks that are already English-language</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ODD restricted to English. NATO/allied doctrine in English.</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Gender bias in role descriptions</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Low-Moderate — LLM may generate gender-stereotyped role descriptions or training objectives</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TDO review required before sign-off. RolePS source documents define roles; AI extracts rather than invents.</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Temporal bias (stale doctrine knowledge)</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 — Claude’s training cutoff may not reflect recent JSP/DTSM amendments</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Pinecone RAG retrieves from verified current doctrine files. Claude’s general knowledge is secondary to RAG outputs.</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Hallucination (confident incorrect output)</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 — LLM may generate plausible but incorrect doctrinal references</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Every criteria check shows JSP/DTSM clause reference. Human TDO verifies. RAG constrains generation to sourced content.</w:t>
            </w:r>
          </w:p>
        </w:tc>
      </w:tr>
    </w:tbl>
    <w:p>
      <w:pPr>
        <w:spacing w:before="120"/>
      </w:pPr>
    </w:p>
    <w:p>
      <w:pPr>
        <w:pStyle w:val="Heading2"/>
        <w:spacing w:after="120" w:before="240"/>
      </w:pPr>
      <w:r>
        <w:rPr>
          <w:rFonts w:ascii="Arial" w:cs="Arial" w:eastAsia="Arial" w:hAnsi="Arial"/>
          <w:b/>
          <w:bCs/>
          <w:color w:val="1B3A6B"/>
          <w:sz w:val="24"/>
          <w:szCs w:val="24"/>
        </w:rPr>
        <w:t xml:space="preserve">2.2 RAG Retrieval Bias (Pinecone)</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3503"/>
        <w:gridCol w:w="3503"/>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Bias Vector</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NOVA-Specific Risk</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Mitigation</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Index over-representation of one doctrinal framework</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 — four separate doctrine indexes (UK, US, NATO, ASD/AIA). Each queried by framework.</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Separate Pinecone indexes per framework prevent cross-contamination.</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Stale doctrine in index</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 — index may not reflect latest JSP/DTSM amendments</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Doctrine files reviewed and updated by owner. Version-controlled.</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Retrieval failure (no relevant chunks returned)</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 — LLM falls back to general knowledge, increasing hallucination risk</w:t>
            </w:r>
          </w:p>
        </w:tc>
        <w:tc>
          <w:tcPr>
            <w:tcW w:type="dxa" w:w="35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Fallback prompts instruct Claude to flag uncertainty rather than fabricate.</w:t>
            </w:r>
          </w:p>
        </w:tc>
      </w:tr>
    </w:tbl>
    <w:p>
      <w:pPr>
        <w:spacing w:before="120"/>
      </w:pPr>
    </w:p>
    <w:p>
      <w:pPr>
        <w:pStyle w:val="Heading2"/>
        <w:spacing w:after="120" w:before="240"/>
      </w:pPr>
      <w:r>
        <w:rPr>
          <w:rFonts w:ascii="Arial" w:cs="Arial" w:eastAsia="Arial" w:hAnsi="Arial"/>
          <w:b/>
          <w:bCs/>
          <w:color w:val="1B3A6B"/>
          <w:sz w:val="24"/>
          <w:szCs w:val="24"/>
        </w:rPr>
        <w:t xml:space="preserve">2.3 Harm Analysis</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1800"/>
        <w:gridCol w:w="5206"/>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Harm Category</w:t>
            </w:r>
          </w:p>
        </w:tc>
        <w:tc>
          <w:tcPr>
            <w:tcW w:type="dxa" w:w="1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Rating</w:t>
            </w:r>
          </w:p>
        </w:tc>
        <w:tc>
          <w:tcPr>
            <w:tcW w:type="dxa" w:w="520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Analysis</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Physical harm</w:t>
            </w:r>
          </w:p>
        </w:tc>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Very Low</w:t>
            </w:r>
          </w:p>
        </w:tc>
        <w:tc>
          <w:tcPr>
            <w:tcW w:type="dxa" w:w="52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 generates training documentation. It does not control physical systems, weapons or autonomous platforms. Training design errors could theoretically affect training quality, but not cause direct physical harm.</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Discriminatory harm to individuals</w:t>
            </w:r>
          </w:p>
        </w:tc>
        <w:tc>
          <w:tcPr>
            <w:tcW w:type="dxa" w:w="18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52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 does not assess, rank or make decisions about individual service personnel. Role descriptions are based on MOD-defined RolePS documents.</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Doctrinal non-compliance harm</w:t>
            </w:r>
          </w:p>
        </w:tc>
        <w:tc>
          <w:tcPr>
            <w:tcW w:type="dxa" w:w="18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52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If NOVA generates non-compliant training objectives that are not caught by human review, downstream training could fail JSP 822 standards. Mitigated by criteria scoring and mandatory TDO sign-off.</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Data security harm</w:t>
            </w:r>
          </w:p>
        </w:tc>
        <w:tc>
          <w:tcPr>
            <w:tcW w:type="dxa" w:w="18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52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User-uploaded documents passed to Anthropic API and Railway backend. Mitigated by OFFICIAL-only classification scope and Anthropic API data handling commitments. See NOVA-SRA-001.</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Over-reliance / automation bias</w:t>
            </w:r>
          </w:p>
        </w:tc>
        <w:tc>
          <w:tcPr>
            <w:tcW w:type="dxa" w:w="18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52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TDOs may accept AI outputs without adequate review if the platform appears authoritative. Mitigated by criteria transparency, clause references, and pending User Training Package.</w:t>
            </w:r>
          </w:p>
        </w:tc>
      </w:tr>
    </w:tbl>
    <w:p>
      <w:r>
        <w:br w:type="page"/>
      </w:r>
    </w:p>
    <w:p>
      <w:pPr>
        <w:pStyle w:val="Heading1"/>
        <w:pBdr>
          <w:bottom w:val="single" w:color="1A5C38" w:sz="4" w:space="4"/>
        </w:pBdr>
        <w:spacing w:after="160" w:before="320"/>
      </w:pPr>
      <w:r>
        <w:rPr>
          <w:rFonts w:ascii="Arial" w:cs="Arial" w:eastAsia="Arial" w:hAnsi="Arial"/>
          <w:b/>
          <w:bCs/>
          <w:color w:val="1B3A6B"/>
          <w:sz w:val="28"/>
          <w:szCs w:val="28"/>
        </w:rPr>
        <w:t xml:space="preserve">3. Mitigations in Place</w:t>
      </w:r>
    </w:p>
    <w:p>
      <w:pPr>
        <w:pStyle w:val="Heading2"/>
        <w:spacing w:after="120" w:before="240"/>
      </w:pPr>
      <w:r>
        <w:rPr>
          <w:rFonts w:ascii="Arial" w:cs="Arial" w:eastAsia="Arial" w:hAnsi="Arial"/>
          <w:b/>
          <w:bCs/>
          <w:color w:val="1B3A6B"/>
          <w:sz w:val="24"/>
          <w:szCs w:val="24"/>
        </w:rPr>
        <w:t xml:space="preserve">3.1 Design Mitigations</w:t>
      </w:r>
    </w:p>
    <w:p>
      <w:pPr>
        <w:pStyle w:val="ListParagraph"/>
        <w:numPr>
          <w:ilvl w:val="0"/>
          <w:numId w:val="2"/>
        </w:numPr>
        <w:spacing w:after="60" w:before="60"/>
      </w:pPr>
      <w:r>
        <w:rPr>
          <w:rFonts w:ascii="Arial" w:cs="Arial" w:eastAsia="Arial" w:hAnsi="Arial"/>
          <w:sz w:val="22"/>
          <w:szCs w:val="22"/>
        </w:rPr>
        <w:t xml:space="preserve">RAG Architecture: Generation is grounded in 134 verified doctrine files rather than open-ended model inference. This is the primary bias control mechanism.</w:t>
      </w:r>
    </w:p>
    <w:p>
      <w:pPr>
        <w:pStyle w:val="ListParagraph"/>
        <w:numPr>
          <w:ilvl w:val="0"/>
          <w:numId w:val="2"/>
        </w:numPr>
        <w:spacing w:after="60" w:before="60"/>
      </w:pPr>
      <w:r>
        <w:rPr>
          <w:rFonts w:ascii="Arial" w:cs="Arial" w:eastAsia="Arial" w:hAnsi="Arial"/>
          <w:sz w:val="22"/>
          <w:szCs w:val="22"/>
        </w:rPr>
        <w:t xml:space="preserve">Mandatory Human Sign-Off: Every activity requires a human TDO to review and mark complete. No output is finalised without positive human action.</w:t>
      </w:r>
    </w:p>
    <w:p>
      <w:pPr>
        <w:pStyle w:val="ListParagraph"/>
        <w:numPr>
          <w:ilvl w:val="0"/>
          <w:numId w:val="2"/>
        </w:numPr>
        <w:spacing w:after="60" w:before="60"/>
      </w:pPr>
      <w:r>
        <w:rPr>
          <w:rFonts w:ascii="Arial" w:cs="Arial" w:eastAsia="Arial" w:hAnsi="Arial"/>
          <w:sz w:val="22"/>
          <w:szCs w:val="22"/>
        </w:rPr>
        <w:t xml:space="preserve">Criteria Transparency: Every compliance check shows the JSP/DTSM clause reference, enabling operators to verify reasoning against source doctrine.</w:t>
      </w:r>
    </w:p>
    <w:p>
      <w:pPr>
        <w:pStyle w:val="ListParagraph"/>
        <w:numPr>
          <w:ilvl w:val="0"/>
          <w:numId w:val="2"/>
        </w:numPr>
        <w:spacing w:after="60" w:before="60"/>
      </w:pPr>
      <w:r>
        <w:rPr>
          <w:rFonts w:ascii="Arial" w:cs="Arial" w:eastAsia="Arial" w:hAnsi="Arial"/>
          <w:sz w:val="22"/>
          <w:szCs w:val="22"/>
        </w:rPr>
        <w:t xml:space="preserve">AI Disclosure: All generated documents carry mandatory AI disclosure per JSP 936 §40, ensuring recipients know AI was used.</w:t>
      </w:r>
    </w:p>
    <w:p>
      <w:pPr>
        <w:pStyle w:val="ListParagraph"/>
        <w:numPr>
          <w:ilvl w:val="0"/>
          <w:numId w:val="2"/>
        </w:numPr>
        <w:spacing w:after="60" w:before="60"/>
      </w:pPr>
      <w:r>
        <w:rPr>
          <w:rFonts w:ascii="Arial" w:cs="Arial" w:eastAsia="Arial" w:hAnsi="Arial"/>
          <w:sz w:val="22"/>
          <w:szCs w:val="22"/>
        </w:rPr>
        <w:t xml:space="preserve">Bounded ODD: NOVA is explicitly scoped to training design documentation and refuses to operate outside this domain.</w:t>
      </w:r>
    </w:p>
    <w:p>
      <w:pPr>
        <w:pStyle w:val="Heading2"/>
        <w:spacing w:after="120" w:before="240"/>
      </w:pPr>
      <w:r>
        <w:rPr>
          <w:rFonts w:ascii="Arial" w:cs="Arial" w:eastAsia="Arial" w:hAnsi="Arial"/>
          <w:b/>
          <w:bCs/>
          <w:color w:val="1B3A6B"/>
          <w:sz w:val="24"/>
          <w:szCs w:val="24"/>
        </w:rPr>
        <w:t xml:space="preserve">3.2 Upstream Provider Mitigations (Anthropic)</w:t>
      </w:r>
    </w:p>
    <w:p>
      <w:pPr>
        <w:pStyle w:val="ListParagraph"/>
        <w:numPr>
          <w:ilvl w:val="0"/>
          <w:numId w:val="2"/>
        </w:numPr>
        <w:spacing w:after="60" w:before="60"/>
      </w:pPr>
      <w:r>
        <w:rPr>
          <w:rFonts w:ascii="Arial" w:cs="Arial" w:eastAsia="Arial" w:hAnsi="Arial"/>
          <w:sz w:val="22"/>
          <w:szCs w:val="22"/>
        </w:rPr>
        <w:t xml:space="preserve">Anthropic publishes and maintains a Constitutional AI (CAI) approach designed to reduce harmful outputs from Claude models.</w:t>
      </w:r>
    </w:p>
    <w:p>
      <w:pPr>
        <w:pStyle w:val="ListParagraph"/>
        <w:numPr>
          <w:ilvl w:val="0"/>
          <w:numId w:val="2"/>
        </w:numPr>
        <w:spacing w:after="60" w:before="60"/>
      </w:pPr>
      <w:r>
        <w:rPr>
          <w:rFonts w:ascii="Arial" w:cs="Arial" w:eastAsia="Arial" w:hAnsi="Arial"/>
          <w:sz w:val="22"/>
          <w:szCs w:val="22"/>
        </w:rPr>
        <w:t xml:space="preserve">Anthropic’s Acceptable Use Policy prohibits uses that cause harm. NOVA’s use case (training documentation) is clearly within acceptable use.</w:t>
      </w:r>
    </w:p>
    <w:p>
      <w:pPr>
        <w:pStyle w:val="ListParagraph"/>
        <w:numPr>
          <w:ilvl w:val="0"/>
          <w:numId w:val="2"/>
        </w:numPr>
        <w:spacing w:after="60" w:before="60"/>
      </w:pPr>
      <w:r>
        <w:rPr>
          <w:rFonts w:ascii="Arial" w:cs="Arial" w:eastAsia="Arial" w:hAnsi="Arial"/>
          <w:sz w:val="22"/>
          <w:szCs w:val="22"/>
        </w:rPr>
        <w:t xml:space="preserve">Anthropic’s API Terms of Service confirm that API inputs are not used to train Claude models, protecting sensitive defence content.</w:t>
      </w:r>
    </w:p>
    <w:p>
      <w:pPr>
        <w:pStyle w:val="ListParagraph"/>
        <w:numPr>
          <w:ilvl w:val="0"/>
          <w:numId w:val="2"/>
        </w:numPr>
        <w:spacing w:after="60" w:before="60"/>
      </w:pPr>
      <w:r>
        <w:rPr>
          <w:rFonts w:ascii="Arial" w:cs="Arial" w:eastAsia="Arial" w:hAnsi="Arial"/>
          <w:sz w:val="22"/>
          <w:szCs w:val="22"/>
        </w:rPr>
        <w:t xml:space="preserve">Anthropic publishes model cards and safety documentation for Claude Sonnet detailing known limitations and bias assessments.</w:t>
      </w:r>
    </w:p>
    <w:p>
      <w:pPr>
        <w:pStyle w:val="Heading2"/>
        <w:spacing w:after="120" w:before="240"/>
      </w:pPr>
      <w:r>
        <w:rPr>
          <w:rFonts w:ascii="Arial" w:cs="Arial" w:eastAsia="Arial" w:hAnsi="Arial"/>
          <w:b/>
          <w:bCs/>
          <w:color w:val="1B3A6B"/>
          <w:sz w:val="24"/>
          <w:szCs w:val="24"/>
        </w:rPr>
        <w:t xml:space="preserve">3.3 Monitoring</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500"/>
        <w:gridCol w:w="3003"/>
        <w:gridCol w:w="3003"/>
      </w:tblGrid>
      <w:tr>
        <w:trPr>
          <w:tblHeader/>
        </w:trPr>
        <w:tc>
          <w:tcPr>
            <w:tcW w:type="dxa" w:w="3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Monitoring Activity</w:t>
            </w:r>
          </w:p>
        </w:tc>
        <w:tc>
          <w:tcPr>
            <w:tcW w:type="dxa" w:w="30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Frequency</w:t>
            </w:r>
          </w:p>
        </w:tc>
        <w:tc>
          <w:tcPr>
            <w:tcW w:type="dxa" w:w="30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Owner</w:t>
            </w:r>
          </w:p>
        </w:tc>
      </w:tr>
      <w:tr>
        <w:trPr>
          <w:tblHeader w:val="false"/>
        </w:trP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Review Anthropic model card updates</w:t>
            </w:r>
          </w:p>
        </w:tc>
        <w:tc>
          <w:tcPr>
            <w:tcW w:type="dxa" w:w="30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Quarterly</w:t>
            </w:r>
          </w:p>
        </w:tc>
        <w:tc>
          <w:tcPr>
            <w:tcW w:type="dxa" w:w="30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Will Kennedy-Long FLPI, FITOL</w:t>
            </w:r>
          </w:p>
        </w:tc>
      </w:tr>
      <w:tr>
        <w:trPr>
          <w:tblHeader w:val="false"/>
        </w:trP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Review Pinecone doctrine index for stale content</w:t>
            </w:r>
          </w:p>
        </w:tc>
        <w:tc>
          <w:tcPr>
            <w:tcW w:type="dxa" w:w="30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On JSP/DTSM amendment</w:t>
            </w:r>
          </w:p>
        </w:tc>
        <w:tc>
          <w:tcPr>
            <w:tcW w:type="dxa" w:w="30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Will Kennedy-Long FLPI, FITOL</w:t>
            </w:r>
          </w:p>
        </w:tc>
      </w:tr>
      <w:tr>
        <w:trPr>
          <w:tblHeader w:val="false"/>
        </w:trP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User feedback review for bias indicators</w:t>
            </w:r>
          </w:p>
        </w:tc>
        <w:tc>
          <w:tcPr>
            <w:tcW w:type="dxa" w:w="30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Monthly</w:t>
            </w:r>
          </w:p>
        </w:tc>
        <w:tc>
          <w:tcPr>
            <w:tcW w:type="dxa" w:w="30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Will Kennedy-Long FLPI, FITOL</w:t>
            </w:r>
          </w:p>
        </w:tc>
      </w:tr>
      <w:tr>
        <w:trPr>
          <w:tblHeader w:val="false"/>
        </w:trP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Annual review of this BHMA document</w:t>
            </w:r>
          </w:p>
        </w:tc>
        <w:tc>
          <w:tcPr>
            <w:tcW w:type="dxa" w:w="30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Annual</w:t>
            </w:r>
          </w:p>
        </w:tc>
        <w:tc>
          <w:tcPr>
            <w:tcW w:type="dxa" w:w="300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Will Kennedy-Long FLPI, FITOL</w:t>
            </w:r>
          </w:p>
        </w:tc>
      </w:tr>
    </w:tbl>
    <w:p>
      <w:pPr>
        <w:spacing w:before="200"/>
      </w:pPr>
    </w:p>
    <w:p>
      <w:pPr>
        <w:pStyle w:val="Heading1"/>
        <w:pBdr>
          <w:bottom w:val="single" w:color="1A5C38" w:sz="4" w:space="4"/>
        </w:pBdr>
        <w:spacing w:after="160" w:before="320"/>
      </w:pPr>
      <w:r>
        <w:rPr>
          <w:rFonts w:ascii="Arial" w:cs="Arial" w:eastAsia="Arial" w:hAnsi="Arial"/>
          <w:b/>
          <w:bCs/>
          <w:color w:val="1B3A6B"/>
          <w:sz w:val="28"/>
          <w:szCs w:val="28"/>
        </w:rPr>
        <w:t xml:space="preserve">4. Overall Assessment</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D4EDDA" w:val="clear"/>
            <w:tcMar>
              <w:top w:type="dxa" w:w="120"/>
              <w:left w:type="dxa" w:w="200"/>
              <w:bottom w:type="dxa" w:w="120"/>
              <w:right w:type="dxa" w:w="200"/>
            </w:tcMar>
          </w:tcPr>
          <w:p>
            <w:r>
              <w:rPr>
                <w:rFonts w:ascii="Arial" w:cs="Arial" w:eastAsia="Arial" w:hAnsi="Arial"/>
                <w:b/>
                <w:bCs/>
                <w:color w:val="1B3A6B"/>
                <w:sz w:val="20"/>
                <w:szCs w:val="20"/>
              </w:rPr>
              <w:t xml:space="preserve">Conclusion:  </w:t>
            </w:r>
            <w:r>
              <w:rPr>
                <w:rFonts w:ascii="Arial" w:cs="Arial" w:eastAsia="Arial" w:hAnsi="Arial"/>
                <w:sz w:val="20"/>
                <w:szCs w:val="20"/>
              </w:rPr>
              <w:t xml:space="preserve">NOVA•s primary harm mitigation is its RAG-grounded, doctrine-bounded architecture combined with mandatory human review at every stage. The residual bias and harm risk is LOW to MODERATE, with the Moderate element attributable to third-party API data flows and automation bias risk — both of which are addressed through documented mitigations and the pending User Training Package.</w:t>
            </w:r>
          </w:p>
        </w:tc>
      </w:tr>
    </w:tbl>
    <w:p>
      <w:pPr>
        <w:spacing w:before="200"/>
      </w:pPr>
    </w:p>
    <w:p>
      <w:pPr>
        <w:pStyle w:val="Heading1"/>
        <w:pBdr>
          <w:bottom w:val="single" w:color="1A5C38" w:sz="4" w:space="4"/>
        </w:pBdr>
        <w:spacing w:after="160" w:before="320"/>
      </w:pPr>
      <w:r>
        <w:rPr>
          <w:rFonts w:ascii="Arial" w:cs="Arial" w:eastAsia="Arial" w:hAnsi="Arial"/>
          <w:b/>
          <w:bCs/>
          <w:color w:val="1B3A6B"/>
          <w:sz w:val="28"/>
          <w:szCs w:val="28"/>
        </w:rPr>
        <w:t xml:space="preserve">5. Document Control</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7006"/>
      </w:tblGrid>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Document Owner</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Will Kennedy-Long FLPI, FITOL</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Version</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v1.0</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Date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8 March 2026</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Next Review</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March 2027</w:t>
            </w:r>
          </w:p>
        </w:tc>
      </w:tr>
    </w:tbl>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6B" w:sz="4"/>
      </w:pBdr>
      <w:tabs>
        <w:tab w:val="center" w:pos="4500"/>
        <w:tab w:val="right" w:pos="9000"/>
      </w:tabs>
      <w:spacing w:before="80"/>
    </w:pPr>
    <w:r>
      <w:rPr>
        <w:rFonts w:ascii="Arial" w:cs="Arial" w:eastAsia="Arial" w:hAnsi="Arial"/>
        <w:i/>
        <w:iCs/>
        <w:color w:val="666666"/>
        <w:sz w:val="14"/>
        <w:szCs w:val="14"/>
      </w:rPr>
      <w:t xml:space="preserve">⚠ AI-Generated Content: This document was produced with AI assistance via NOVA™. </w:t>
    </w:r>
    <w:r>
      <w:rPr>
        <w:rFonts w:ascii="Arial" w:cs="Arial" w:eastAsia="Arial" w:hAnsi="Arial"/>
        <w:sz w:val="14"/>
        <w:szCs w:val="14"/>
      </w:rPr>
      <w:t xml:space="preserve">	</w:t>
    </w:r>
    <w:r>
      <w:rPr>
        <w:rFonts w:ascii="Arial" w:cs="Arial" w:eastAsia="Arial" w:hAnsi="Arial"/>
        <w:sz w:val="14"/>
        <w:szCs w:val="14"/>
      </w:rPr>
      <w:t xml:space="preserve">	</w:t>
    </w:r>
    <w:r>
      <w:rPr>
        <w:rFonts w:ascii="Arial" w:cs="Arial" w:eastAsia="Arial" w:hAnsi="Arial"/>
        <w:color w:val="1B3A6B"/>
        <w:sz w:val="16"/>
        <w:szCs w:val="16"/>
      </w:rPr>
      <w:t xml:space="preserve">Page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6"/>
      </w:pBdr>
      <w:spacing w:after="80"/>
    </w:pPr>
    <w:r>
      <w:rPr>
        <w:rFonts w:ascii="Arial" w:cs="Arial" w:eastAsia="Arial" w:hAnsi="Arial"/>
        <w:b/>
        <w:bCs/>
        <w:color w:val="1B3A6B"/>
        <w:sz w:val="18"/>
        <w:szCs w:val="18"/>
      </w:rPr>
      <w:t xml:space="preserve">NOVA™  |  </w:t>
    </w:r>
    <w:r>
      <w:rPr>
        <w:rFonts w:ascii="Arial" w:cs="Arial" w:eastAsia="Arial" w:hAnsi="Arial"/>
        <w:color w:val="1B3A6B"/>
        <w:sz w:val="18"/>
        <w:szCs w:val="18"/>
      </w:rPr>
      <w:t xml:space="preserve">Bias and Harm Mitigation Analysis</w:t>
    </w:r>
    <w:r>
      <w:rPr>
        <w:rFonts w:ascii="Arial" w:cs="Arial" w:eastAsia="Arial" w:hAnsi="Arial"/>
        <w:sz w:val="18"/>
        <w:szCs w:val="18"/>
      </w:rPr>
      <w:t xml:space="preserve">    </w:t>
    </w:r>
    <w:r>
      <w:rPr>
        <w:rFonts w:ascii="Arial" w:cs="Arial" w:eastAsia="Arial" w:hAnsi="Arial"/>
        <w:b/>
        <w:bCs/>
        <w:color w:val="1A5C38"/>
        <w:sz w:val="18"/>
        <w:szCs w:val="18"/>
      </w:rPr>
      <w:t xml:space="preserve">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B3A6B"/>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B3A6B"/>
      <w:sz w:val="24"/>
      <w:szCs w:val="24"/>
    </w:rPr>
  </w:style>
  <w:style w:type="paragraph" w:styleId="Heading3">
    <w:name w:val="Heading 3"/>
    <w:basedOn w:val="Normal"/>
    <w:next w:val="Normal"/>
    <w:qFormat/>
    <w:pPr>
      <w:spacing w:after="80" w:before="180"/>
      <w:outlineLvl w:val="2"/>
    </w:pPr>
    <w:rPr>
      <w:rFonts w:ascii="Arial" w:cs="Arial" w:eastAsia="Arial" w:hAnsi="Arial"/>
      <w:b/>
      <w:bCs/>
      <w:color w:val="1A5C3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2026-03-08T17:19:26.961Z</dcterms:created>
  <dcterms:modified xsi:type="dcterms:W3CDTF">2026-03-08T17:19:26.961Z</dcterms:modified>
</cp:coreProperties>
</file>

<file path=docProps/custom.xml><?xml version="1.0" encoding="utf-8"?>
<Properties xmlns="http://schemas.openxmlformats.org/officeDocument/2006/custom-properties" xmlns:vt="http://schemas.openxmlformats.org/officeDocument/2006/docPropsVTypes"/>
</file>